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ExtendedDocument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Приложение №1 </w:t>
      </w:r>
      <w:r>
        <w:rPr>
          <w:b/>
          <w:bCs/>
          <w:sz w:val="28"/>
          <w:szCs w:val="28"/>
        </w:rPr>
      </w:r>
    </w:p>
    <w:p>
      <w:pPr>
        <w:jc w:val="right"/>
        <w:keepLines/>
        <w:keepNext/>
        <w:rPr>
          <w:b/>
          <w:bCs/>
          <w:sz w:val="32"/>
          <w:szCs w:val="32"/>
        </w:rPr>
      </w:pPr>
      <w:r>
        <w:rPr>
          <w:b/>
          <w:bCs/>
          <w:sz w:val="28"/>
          <w:szCs w:val="28"/>
        </w:rPr>
        <w:t xml:space="preserve">к Документации о закупке</w:t>
      </w:r>
      <w:bookmarkStart w:id="0" w:name="_GoBack"/>
      <w:r>
        <w:rPr>
          <w:sz w:val="28"/>
          <w:szCs w:val="28"/>
        </w:rPr>
      </w:r>
      <w:bookmarkEnd w:id="0"/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32"/>
          <w:szCs w:val="32"/>
        </w:rPr>
        <w:t xml:space="preserve">                                                                       </w:t>
      </w:r>
      <w:r>
        <w:rPr>
          <w:b/>
          <w:bCs/>
          <w:sz w:val="32"/>
          <w:szCs w:val="32"/>
        </w:rPr>
      </w:r>
      <w:r/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выполнение работ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center"/>
        <w:keepLines/>
        <w:keepNext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«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ОКПД2 71.12.13. Выполнение проектно-изыскательских работ по модернизации системы рециркуляции дымовых газов с целью снижения выбросов оксидов азота для Хабаровской ТЭЦ-3, г. Хабаровск, в рамках реализации инвестиционного проекта Р_505-ХТЭЦ-3-58</w:t>
      </w:r>
      <w:r>
        <w:rPr>
          <w:b/>
          <w:bCs/>
          <w:i/>
          <w:iCs/>
          <w:sz w:val="28"/>
          <w:szCs w:val="28"/>
        </w:rPr>
        <w:t xml:space="preserve">»</w:t>
      </w: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iCs/>
          <w:sz w:val="28"/>
          <w:szCs w:val="28"/>
        </w:rPr>
      </w:r>
    </w:p>
    <w:p>
      <w:pPr>
        <w:jc w:val="center"/>
        <w:keepLines/>
        <w:keepNext/>
        <w:rPr>
          <w:b/>
          <w:bCs/>
          <w:i/>
          <w:sz w:val="26"/>
          <w:szCs w:val="26"/>
        </w:rPr>
      </w:pPr>
      <w:r>
        <w:rPr>
          <w:b/>
          <w:bCs/>
          <w:i/>
          <w:iCs/>
          <w:sz w:val="28"/>
          <w:szCs w:val="28"/>
        </w:rPr>
        <w:t xml:space="preserve">Лот № </w:t>
      </w:r>
      <w:r>
        <w:rPr>
          <w:b/>
          <w:bCs/>
          <w:i/>
          <w:iCs/>
          <w:sz w:val="28"/>
          <w:szCs w:val="28"/>
        </w:rPr>
        <w:t xml:space="preserve">22122003-ТПИР ОБСЛ-2026-ДГК-ХТЭЦ3</w:t>
      </w:r>
      <w:r>
        <w:rPr>
          <w:sz w:val="26"/>
          <w:szCs w:val="26"/>
        </w:rPr>
        <w:br w:type="page" w:clear="all"/>
      </w:r>
      <w:r>
        <w:rPr>
          <w:b/>
          <w:bCs/>
          <w:i/>
          <w:sz w:val="26"/>
          <w:szCs w:val="26"/>
        </w:rPr>
      </w:r>
      <w:r>
        <w:rPr>
          <w:b/>
          <w:bCs/>
          <w:i/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jc w:val="center"/>
        <w:keepLines/>
        <w:keepNext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1.</w:t>
      </w:r>
      <w:r>
        <w:rPr>
          <w:rFonts w:eastAsia="Calibri"/>
          <w:sz w:val="24"/>
          <w:szCs w:val="24"/>
        </w:rPr>
        <w:tab/>
        <w:t xml:space="preserve">Общие сведения ____________________________________________________________ 3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1.1.</w:t>
      </w:r>
      <w:r>
        <w:rPr>
          <w:rFonts w:eastAsia="Calibri"/>
          <w:sz w:val="24"/>
          <w:szCs w:val="24"/>
        </w:rPr>
        <w:tab/>
        <w:t xml:space="preserve">Обозначения и сокращения</w:t>
      </w:r>
      <w:r>
        <w:rPr>
          <w:rFonts w:eastAsia="Calibri"/>
          <w:sz w:val="24"/>
          <w:szCs w:val="24"/>
        </w:rPr>
        <w:tab/>
        <w:t xml:space="preserve">___________________</w:t>
      </w:r>
      <w:r>
        <w:rPr>
          <w:rFonts w:eastAsia="Calibri"/>
          <w:sz w:val="24"/>
          <w:szCs w:val="24"/>
        </w:rPr>
        <w:t xml:space="preserve">________________________________ 3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1.2.</w:t>
      </w:r>
      <w:r>
        <w:rPr>
          <w:rFonts w:eastAsia="Calibri"/>
          <w:sz w:val="24"/>
          <w:szCs w:val="24"/>
        </w:rPr>
        <w:tab/>
        <w:t xml:space="preserve">Наименование закупаемой продукции__________________________________________ 3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1.3.</w:t>
      </w:r>
      <w:r>
        <w:rPr>
          <w:rFonts w:eastAsia="Calibri"/>
          <w:sz w:val="24"/>
          <w:szCs w:val="24"/>
        </w:rPr>
        <w:tab/>
        <w:t xml:space="preserve">Цель выполнения работ ______________________________________________________ 3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Таблица 1. Перечень объектов заказчика _______________</w:t>
      </w:r>
      <w:r>
        <w:rPr>
          <w:rFonts w:eastAsia="Calibri"/>
          <w:sz w:val="24"/>
          <w:szCs w:val="24"/>
        </w:rPr>
        <w:t xml:space="preserve">______________________________ 3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2.</w:t>
      </w:r>
      <w:r>
        <w:rPr>
          <w:rFonts w:eastAsia="Calibri"/>
          <w:sz w:val="24"/>
          <w:szCs w:val="24"/>
        </w:rPr>
        <w:tab/>
        <w:t xml:space="preserve">Требования к продукции _____________________________________________________ 4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2.1.</w:t>
      </w:r>
      <w:r>
        <w:rPr>
          <w:rFonts w:eastAsia="Calibri"/>
          <w:sz w:val="24"/>
          <w:szCs w:val="24"/>
        </w:rPr>
        <w:tab/>
        <w:t xml:space="preserve">Требования к объемам и срокам выполнения работ _______________________________ 4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2.1.1.</w:t>
      </w:r>
      <w:r>
        <w:rPr>
          <w:rFonts w:eastAsia="Calibri"/>
          <w:sz w:val="24"/>
          <w:szCs w:val="24"/>
        </w:rPr>
        <w:tab/>
        <w:t xml:space="preserve">Требования к видам и объемам работ______________</w:t>
      </w:r>
      <w:r>
        <w:rPr>
          <w:rFonts w:eastAsia="Calibri"/>
          <w:sz w:val="24"/>
          <w:szCs w:val="24"/>
        </w:rPr>
        <w:t xml:space="preserve">_____________________________ 4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Таблица 2. Перечень и объем выполняемых работ ______________________________________ 4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2.1.2.</w:t>
      </w:r>
      <w:r>
        <w:rPr>
          <w:rFonts w:eastAsia="Calibri"/>
          <w:sz w:val="24"/>
          <w:szCs w:val="24"/>
        </w:rPr>
        <w:tab/>
        <w:t xml:space="preserve">Требования к срокам выполнения работ_________________________________________ 4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Таблица 3. Требования по срокам выполнения работ__</w:t>
      </w:r>
      <w:r>
        <w:rPr>
          <w:rFonts w:eastAsia="Calibri"/>
          <w:sz w:val="24"/>
          <w:szCs w:val="24"/>
        </w:rPr>
        <w:t xml:space="preserve">__________________________________ 4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2.2.</w:t>
      </w:r>
      <w:r>
        <w:rPr>
          <w:rFonts w:eastAsia="Calibri"/>
          <w:sz w:val="24"/>
          <w:szCs w:val="24"/>
        </w:rPr>
        <w:tab/>
        <w:t xml:space="preserve">Требования к качеству работ __________________________________________________ 6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Таблица 4. Требования к качеству работ ______________________________________________ 6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</w:t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 xml:space="preserve">Требования к документации по ценообразованию на этапе закупки ________________ 23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4.</w:t>
      </w:r>
      <w:r>
        <w:rPr>
          <w:rFonts w:eastAsia="Calibri"/>
          <w:sz w:val="24"/>
          <w:szCs w:val="24"/>
        </w:rPr>
        <w:tab/>
        <w:t xml:space="preserve">Требования к документации по ценообразованию на этапе заключения (исполнения) договора ________________________________________________________________________ 23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5.</w:t>
      </w:r>
      <w:r>
        <w:rPr>
          <w:rFonts w:eastAsia="Calibri"/>
          <w:sz w:val="24"/>
          <w:szCs w:val="24"/>
        </w:rPr>
        <w:tab/>
        <w:t xml:space="preserve">Прило</w:t>
      </w:r>
      <w:r>
        <w:rPr>
          <w:rFonts w:eastAsia="Calibri"/>
          <w:sz w:val="24"/>
          <w:szCs w:val="24"/>
        </w:rPr>
        <w:t xml:space="preserve">жения_______________________________________________________________23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keepLines/>
        <w:keepNext/>
        <w:rPr>
          <w:rFonts w:eastAsia="Calibri"/>
          <w:sz w:val="22"/>
          <w:szCs w:val="24"/>
        </w:rPr>
      </w:pPr>
      <w:r>
        <w:rPr>
          <w:rFonts w:eastAsia="Calibri"/>
          <w:sz w:val="22"/>
          <w:szCs w:val="24"/>
        </w:rPr>
        <w:br w:type="page" w:clear="all"/>
      </w:r>
      <w:r>
        <w:rPr>
          <w:rFonts w:eastAsia="Calibri"/>
          <w:sz w:val="22"/>
          <w:szCs w:val="24"/>
        </w:rPr>
      </w:r>
      <w:r>
        <w:rPr>
          <w:rFonts w:eastAsia="Calibri"/>
          <w:sz w:val="22"/>
          <w:szCs w:val="24"/>
        </w:rPr>
      </w:r>
    </w:p>
    <w:p>
      <w:pPr>
        <w:pStyle w:val="806"/>
        <w:ind w:left="357" w:hanging="357"/>
        <w:jc w:val="center"/>
        <w:keepLines/>
        <w:rPr>
          <w:caps/>
        </w:rPr>
      </w:pPr>
      <w:r/>
      <w:bookmarkStart w:id="1" w:name="_Toc51339692"/>
      <w:r/>
      <w:bookmarkStart w:id="2" w:name="_Toc54646395"/>
      <w:r>
        <w:t xml:space="preserve">Общие сведения</w:t>
      </w:r>
      <w:bookmarkEnd w:id="1"/>
      <w:r/>
      <w:bookmarkEnd w:id="2"/>
      <w:r>
        <w:rPr>
          <w:caps/>
        </w:rPr>
      </w:r>
      <w:r>
        <w:rPr>
          <w:caps/>
        </w:rPr>
      </w:r>
    </w:p>
    <w:p>
      <w:pPr>
        <w:pStyle w:val="809"/>
        <w:rPr>
          <w:rStyle w:val="1050"/>
          <w:b/>
          <w:i w:val="0"/>
          <w:shd w:val="clear" w:color="auto" w:fill="auto"/>
        </w:rPr>
      </w:pPr>
      <w:r/>
      <w:bookmarkStart w:id="3" w:name="_Toc46743505"/>
      <w:r/>
      <w:bookmarkStart w:id="4" w:name="_Toc54646396"/>
      <w:r>
        <w:t xml:space="preserve">Обозначения и сокращени</w:t>
      </w:r>
      <w:bookmarkEnd w:id="3"/>
      <w:r/>
      <w:bookmarkEnd w:id="4"/>
      <w:r>
        <w:t xml:space="preserve">я</w:t>
      </w:r>
      <w:r>
        <w:rPr>
          <w:rStyle w:val="1050"/>
          <w:b/>
          <w:i w:val="0"/>
          <w:shd w:val="clear" w:color="auto" w:fill="auto"/>
        </w:rPr>
      </w:r>
      <w:r>
        <w:rPr>
          <w:rStyle w:val="1050"/>
          <w:b/>
          <w:i w:val="0"/>
          <w:shd w:val="clear" w:color="auto" w:fill="auto"/>
        </w:rPr>
      </w:r>
    </w:p>
    <w:tbl>
      <w:tblPr>
        <w:tblStyle w:val="976"/>
        <w:tblW w:w="0" w:type="auto"/>
        <w:tblLook w:val="04A0" w:firstRow="1" w:lastRow="0" w:firstColumn="1" w:lastColumn="0" w:noHBand="0" w:noVBand="1"/>
      </w:tblPr>
      <w:tblGrid>
        <w:gridCol w:w="2405"/>
        <w:gridCol w:w="7506"/>
      </w:tblGrid>
      <w:tr>
        <w:tblPrEx/>
        <w:trPr/>
        <w:tc>
          <w:tcPr>
            <w:tcW w:w="2405" w:type="dxa"/>
            <w:vMerge w:val="restart"/>
            <w:textDirection w:val="lrTb"/>
            <w:noWrap w:val="false"/>
          </w:tcPr>
          <w:p>
            <w:pPr>
              <w:keepLines/>
              <w:keepNext/>
            </w:pPr>
            <w:r>
              <w:t xml:space="preserve">ДРГ</w:t>
            </w:r>
            <w:r/>
          </w:p>
        </w:tc>
        <w:tc>
          <w:tcPr>
            <w:tcW w:w="7506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Дымосос рециркуляции дымовых газов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/>
            <w:bookmarkStart w:id="5" w:name="_Toc46743506"/>
            <w:r>
              <w:rPr>
                <w:sz w:val="24"/>
                <w:szCs w:val="24"/>
              </w:rPr>
              <w:t xml:space="preserve">ОТР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технические решения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Исходные технические требования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2405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ЛСР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Локальный сметный расчет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2405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2405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Структурное подразделение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2405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документация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2405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Проектно-изыскательские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2405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ПНР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Пусконаладочные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2405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Программное обеспечение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2405" w:type="dxa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требования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2405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документация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2405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СБЦ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Сборник базовых цен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2405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ФРСН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реестр сметных нормативов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2405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ХГР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06" w:type="dxa"/>
            <w:vMerge w:val="restart"/>
            <w:textDirection w:val="lrTb"/>
            <w:noWrap w:val="false"/>
          </w:tcPr>
          <w:p>
            <w:pPr>
              <w:keepLines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Холодные газы рециркуляции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9"/>
      </w:pPr>
      <w:r/>
      <w:bookmarkStart w:id="6" w:name="_Toc54646397"/>
      <w:r>
        <w:t xml:space="preserve">Наименование закупаемой продукции</w:t>
      </w:r>
      <w:bookmarkEnd w:id="5"/>
      <w:r/>
      <w:bookmarkEnd w:id="6"/>
      <w:r/>
      <w:r/>
    </w:p>
    <w:p>
      <w:pPr>
        <w:jc w:val="both"/>
        <w:keepLines/>
        <w:keepNext/>
        <w:rPr>
          <w:rFonts w:eastAsia="Calibri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ОКПД2 71.12.13. Выполнение проектно-изыскательских работ по модернизации системы рециркуляции дымовых газов с целью снижения выбросов оксидов азота для Хабаровской ТЭЦ-3, г. Хабаровск, в рамках реализации инвестиционного проекта Р_505-ХТЭЦ-3-58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Style w:val="1050"/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rStyle w:val="1050"/>
          <w:b w:val="0"/>
          <w:bCs/>
          <w:sz w:val="24"/>
          <w:szCs w:val="24"/>
        </w:rPr>
      </w:r>
      <w:r>
        <w:rPr>
          <w:rStyle w:val="1050"/>
          <w:b w:val="0"/>
          <w:bCs/>
          <w:sz w:val="24"/>
          <w:szCs w:val="24"/>
        </w:rPr>
      </w:r>
    </w:p>
    <w:p>
      <w:pPr>
        <w:pStyle w:val="809"/>
      </w:pPr>
      <w:r/>
      <w:bookmarkStart w:id="7" w:name="_Toc46743507"/>
      <w:r/>
      <w:bookmarkStart w:id="8" w:name="_Toc54646398"/>
      <w:r>
        <w:t xml:space="preserve">Цель </w:t>
      </w:r>
      <w:bookmarkEnd w:id="7"/>
      <w:r>
        <w:t xml:space="preserve">выполнени</w:t>
      </w:r>
      <w:r>
        <w:t xml:space="preserve">я работ</w:t>
      </w:r>
      <w:bookmarkEnd w:id="8"/>
      <w:r/>
      <w:r/>
    </w:p>
    <w:p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Приведение выбросов оксидов азота в соответствие с Постановление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РФ от 09.12.2020 г. №2055 «О предельно допустимых выбросах, временно разрешенных выбросах, предельно допустимых нормативах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редных физических воздействий на атмосферный воздух» и ГОСТ Р 55173-20213 «Установки котельные. Общие технические требования».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06"/>
        <w:numPr>
          <w:ilvl w:val="0"/>
          <w:numId w:val="0"/>
        </w:numPr>
        <w:keepLines/>
        <w:spacing w:before="240"/>
      </w:pPr>
      <w:r/>
      <w:bookmarkStart w:id="9" w:name="_Toc54646400"/>
      <w:r>
        <w:rPr>
          <w:sz w:val="24"/>
          <w:szCs w:val="24"/>
        </w:rPr>
        <w:t xml:space="preserve">Таблица 1. Перечень об</w:t>
      </w:r>
      <w:r>
        <w:rPr>
          <w:sz w:val="24"/>
          <w:szCs w:val="24"/>
        </w:rPr>
        <w:t xml:space="preserve">ъектов заказчика</w:t>
      </w:r>
      <w:bookmarkEnd w:id="9"/>
      <w:r/>
      <w:r/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293"/>
        <w:gridCol w:w="1701"/>
        <w:gridCol w:w="1697"/>
        <w:gridCol w:w="2410"/>
      </w:tblGrid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69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383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1019"/>
              <w:numPr>
                <w:ilvl w:val="0"/>
                <w:numId w:val="10"/>
              </w:numPr>
              <w:jc w:val="center"/>
            </w:pPr>
            <w:r/>
            <w:r/>
          </w:p>
        </w:tc>
        <w:tc>
          <w:tcPr>
            <w:shd w:val="clear" w:color="auto" w:fill="auto"/>
            <w:tcW w:w="3293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rPr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ОКПД2 71.12.13. Выполнение проектно-изыскательских работ по модернизации системы рециркуляции дымовых газов с целью снижения выбросов оксидов азота для Хабаровской ТЭЦ-3, г. Хабаровск, в рамках реализации инвестиционного проекта Р_505-ХТЭЦ-3-58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680025,  г. Хабаровск, СП «Хабаровская ТЭЦ-3»  АО «ДГК», Федоровское шоссе, </w:t>
            </w: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-</w:t>
            </w:r>
            <w:r/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06"/>
        <w:numPr>
          <w:ilvl w:val="0"/>
          <w:numId w:val="0"/>
        </w:numPr>
        <w:ind w:left="357"/>
        <w:keepLines/>
        <w:rPr>
          <w:iCs/>
          <w:caps/>
        </w:rPr>
      </w:pPr>
      <w:r/>
      <w:bookmarkStart w:id="10" w:name="_Toc51339693"/>
      <w:r/>
      <w:bookmarkStart w:id="11" w:name="_Toc54646403"/>
      <w:r/>
      <w:bookmarkStart w:id="12" w:name="_Toc50125126"/>
      <w:r/>
      <w:bookmarkStart w:id="13" w:name="_Toc46743510"/>
      <w:r>
        <w:rPr>
          <w:iCs/>
          <w:caps/>
        </w:rPr>
      </w:r>
      <w:r>
        <w:rPr>
          <w:iCs/>
          <w:caps/>
        </w:rPr>
      </w:r>
    </w:p>
    <w:p>
      <w:pPr>
        <w:pStyle w:val="806"/>
        <w:ind w:left="357" w:hanging="357"/>
        <w:jc w:val="center"/>
        <w:keepLines/>
        <w:rPr>
          <w:iCs/>
          <w:caps/>
        </w:rPr>
      </w:pPr>
      <w:r>
        <w:rPr>
          <w:iCs/>
        </w:rPr>
        <w:t xml:space="preserve">Требования к продукции</w:t>
      </w:r>
      <w:bookmarkEnd w:id="10"/>
      <w:r/>
      <w:bookmarkEnd w:id="11"/>
      <w:r>
        <w:rPr>
          <w:iCs/>
          <w:caps/>
        </w:rPr>
      </w:r>
      <w:r>
        <w:rPr>
          <w:iCs/>
          <w:caps/>
        </w:rPr>
      </w:r>
    </w:p>
    <w:p>
      <w:pPr>
        <w:pStyle w:val="809"/>
      </w:pPr>
      <w:r/>
      <w:bookmarkStart w:id="14" w:name="_Toc54646404"/>
      <w:r>
        <w:t xml:space="preserve">Требования по объемам и срокам выполнения работ</w:t>
      </w:r>
      <w:bookmarkEnd w:id="14"/>
      <w:r/>
      <w:r/>
    </w:p>
    <w:p>
      <w:pPr>
        <w:pStyle w:val="808"/>
      </w:pPr>
      <w:r/>
      <w:bookmarkStart w:id="15" w:name="_Toc54646405"/>
      <w:r>
        <w:t xml:space="preserve">Требования к видам и объемам работ</w:t>
      </w:r>
      <w:bookmarkEnd w:id="15"/>
      <w:r/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6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6" w:name="_Toc51339695"/>
      <w:r/>
      <w:bookmarkStart w:id="17" w:name="_Toc54646406"/>
      <w:r>
        <w:rPr>
          <w:sz w:val="24"/>
          <w:szCs w:val="24"/>
        </w:rPr>
        <w:t xml:space="preserve">Таблица 2. Перечень </w:t>
      </w:r>
      <w:bookmarkEnd w:id="16"/>
      <w:r>
        <w:rPr>
          <w:sz w:val="24"/>
          <w:szCs w:val="24"/>
        </w:rPr>
        <w:t xml:space="preserve">и объем выполняемых работ</w:t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019"/>
              <w:numPr>
                <w:ilvl w:val="0"/>
                <w:numId w:val="14"/>
              </w:numPr>
            </w:pPr>
            <w:r/>
            <w:r/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  <w:highlight w:val="none"/>
                <w:lang w:bidi="ru-RU"/>
              </w:rPr>
              <w:t xml:space="preserve">Сбор исходных данных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усл</w:t>
            </w:r>
            <w:r>
              <w:rPr>
                <w:i/>
                <w:sz w:val="24"/>
                <w:szCs w:val="24"/>
              </w:rPr>
              <w:t xml:space="preserve">. Ед.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019"/>
              <w:numPr>
                <w:ilvl w:val="0"/>
                <w:numId w:val="14"/>
              </w:numPr>
            </w:pPr>
            <w:r/>
            <w:r/>
          </w:p>
        </w:tc>
        <w:tc>
          <w:tcPr>
            <w:tcW w:w="4849" w:type="dxa"/>
            <w:textDirection w:val="lrTb"/>
            <w:noWrap w:val="false"/>
          </w:tcPr>
          <w:p>
            <w:pPr>
              <w:jc w:val="left"/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Выполнение 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к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о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м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п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л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е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ксного инженерно-технического обследования 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и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и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н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ж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е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н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е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р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н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ы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х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и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з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ы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с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к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а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н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и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й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существующей системы рециркуляции дымовых газов 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усл</w:t>
            </w:r>
            <w:r>
              <w:rPr>
                <w:i/>
                <w:sz w:val="24"/>
                <w:szCs w:val="24"/>
              </w:rPr>
              <w:t xml:space="preserve">. Ед.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50" w:type="dxa"/>
            <w:textDirection w:val="lrTb"/>
            <w:noWrap w:val="false"/>
          </w:tcPr>
          <w:p>
            <w:pPr>
              <w:pStyle w:val="1019"/>
              <w:numPr>
                <w:ilvl w:val="0"/>
                <w:numId w:val="14"/>
              </w:numPr>
            </w:pPr>
            <w:r/>
            <w:r/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  <w:t xml:space="preserve">Разработка проектной документации.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i/>
                <w:sz w:val="24"/>
                <w:szCs w:val="24"/>
              </w:rPr>
              <w:t xml:space="preserve">комплект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1019"/>
              <w:numPr>
                <w:ilvl w:val="0"/>
                <w:numId w:val="14"/>
              </w:numPr>
            </w:pPr>
            <w:r/>
            <w:r/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Прохождение экспертизы промышленной безопасности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усл</w:t>
            </w:r>
            <w:r>
              <w:rPr>
                <w:i/>
                <w:sz w:val="24"/>
                <w:szCs w:val="24"/>
              </w:rPr>
              <w:t xml:space="preserve">. Ед.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019"/>
              <w:numPr>
                <w:ilvl w:val="0"/>
                <w:numId w:val="14"/>
              </w:numPr>
            </w:pPr>
            <w:r/>
            <w:r/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Разработка рабочей документации, включая сметную.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left="-112" w:right="-10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комплект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808"/>
        <w:rPr>
          <w:highlight w:val="white"/>
          <w:shd w:val="clear" w:color="auto" w:fill="ffff99"/>
        </w:rPr>
      </w:pPr>
      <w:r/>
      <w:bookmarkStart w:id="18" w:name="_Toc51339696"/>
      <w:r>
        <w:t xml:space="preserve">Требования </w:t>
      </w:r>
      <w:bookmarkEnd w:id="18"/>
      <w:r>
        <w:t xml:space="preserve">к срокам выполнения работ</w:t>
      </w:r>
      <w:r>
        <w:rPr>
          <w:highlight w:val="white"/>
          <w:shd w:val="clear" w:color="auto" w:fill="ffff99"/>
        </w:rPr>
      </w:r>
      <w:r>
        <w:rPr>
          <w:highlight w:val="white"/>
          <w:shd w:val="clear" w:color="auto" w:fill="ffff99"/>
        </w:rPr>
      </w:r>
    </w:p>
    <w:p>
      <w:pPr>
        <w:ind w:firstLine="567"/>
        <w:jc w:val="both"/>
        <w:rPr>
          <w:highlight w:val="white"/>
        </w:rPr>
      </w:pPr>
      <w:r>
        <w:rPr>
          <w:sz w:val="24"/>
          <w:szCs w:val="24"/>
          <w:highlight w:val="white"/>
        </w:rPr>
        <w:t xml:space="preserve">Начало выполнения работ: с даты, следующей за датой заключения Договора.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Окончание выполнения работ: </w:t>
      </w:r>
      <w:r>
        <w:rPr>
          <w:sz w:val="24"/>
          <w:szCs w:val="24"/>
        </w:rPr>
        <w:t xml:space="preserve">в течение</w:t>
      </w:r>
      <w:r>
        <w:rPr>
          <w:sz w:val="24"/>
          <w:szCs w:val="24"/>
          <w:highlight w:val="white"/>
        </w:rPr>
        <w:t xml:space="preserve"> 150 календарных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 xml:space="preserve">дней с даты, следующей за датой заключения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16"/>
          <w:szCs w:val="16"/>
          <w:highlight w:val="white"/>
        </w:rPr>
      </w:pP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  <w:p>
      <w:pPr>
        <w:pStyle w:val="808"/>
        <w:rPr>
          <w:bCs/>
          <w:i/>
        </w:rPr>
      </w:pPr>
      <w:r/>
      <w:bookmarkStart w:id="19" w:name="_Toc50125127"/>
      <w:r/>
      <w:bookmarkStart w:id="20" w:name="_Toc51339697"/>
      <w:r/>
      <w:bookmarkStart w:id="21" w:name="_Toc54646408"/>
      <w:r/>
      <w:bookmarkEnd w:id="12"/>
      <w:r>
        <w:t xml:space="preserve">Таблица 3. </w:t>
      </w:r>
      <w:bookmarkStart w:id="22" w:name="_Hlk50465284"/>
      <w:r>
        <w:rPr>
          <w:bCs/>
        </w:rPr>
        <w:t xml:space="preserve">Требования по срокам </w:t>
      </w:r>
      <w:bookmarkEnd w:id="19"/>
      <w:r/>
      <w:bookmarkEnd w:id="20"/>
      <w:r/>
      <w:bookmarkEnd w:id="22"/>
      <w:r>
        <w:rPr>
          <w:bCs/>
        </w:rPr>
        <w:t xml:space="preserve">выпо</w:t>
      </w:r>
      <w:r>
        <w:rPr>
          <w:bCs/>
        </w:rPr>
        <w:t xml:space="preserve">лнения работ</w:t>
      </w:r>
      <w:bookmarkEnd w:id="21"/>
      <w:r>
        <w:rPr>
          <w:bCs/>
          <w:i/>
        </w:rPr>
      </w:r>
      <w:r>
        <w:rPr>
          <w:bCs/>
          <w:i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402"/>
        <w:gridCol w:w="2268"/>
        <w:gridCol w:w="3256"/>
      </w:tblGrid>
      <w:tr>
        <w:tblPrEx/>
        <w:trPr/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 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48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pStyle w:val="1048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none"/>
                <w:lang w:bidi="ru-RU"/>
              </w:rPr>
              <w:t xml:space="preserve">Сбор исходных данных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4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даты, следующей за датой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pStyle w:val="104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7 рабочих дней с даты, следующей за датой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93"/>
        </w:trPr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ind w:left="0" w:firstLine="0"/>
              <w:jc w:val="center"/>
              <w:rPr>
                <w:rFonts w:eastAsia="Calibri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eastAsia="Calibri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Выполнение 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к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о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м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п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л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е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ксного инженерно-технического обследования 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и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и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н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ж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е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н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е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р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н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ы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х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и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з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ы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с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к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а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н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и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й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white"/>
              </w:rPr>
              <w:t xml:space="preserve">существующей системы рециркуляции дымовых газов </w:t>
            </w:r>
            <w:r>
              <w:rPr>
                <w:rFonts w:eastAsia="Calibri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4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даты, следующей за датой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48"/>
              <w:ind w:left="32" w:right="-108" w:hanging="32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pStyle w:val="104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40 календарных дней с даты, следующей за датой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48"/>
              <w:ind w:left="32" w:right="-108" w:hanging="32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проектной документации.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48"/>
              <w:jc w:val="center"/>
              <w:keepNext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 даты подписания отчета по выполнению комплексного инженерно-технического обследования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pStyle w:val="104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5</w:t>
            </w:r>
            <w:r>
              <w:rPr>
                <w:sz w:val="24"/>
                <w:szCs w:val="24"/>
              </w:rPr>
              <w:t xml:space="preserve">0 календарных дней</w:t>
            </w:r>
            <w:r>
              <w:rPr>
                <w:sz w:val="24"/>
                <w:szCs w:val="24"/>
              </w:rPr>
              <w:t xml:space="preserve"> с даты </w:t>
            </w:r>
            <w:r>
              <w:rPr>
                <w:rFonts w:eastAsia="Calibri"/>
                <w:sz w:val="24"/>
                <w:szCs w:val="24"/>
              </w:rPr>
              <w:t xml:space="preserve">подписания отчета по выполнению комплексного инженерно-технического обследования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Merge w:val="restart"/>
            <w:textDirection w:val="lrTb"/>
            <w:noWrap w:val="false"/>
          </w:tcPr>
          <w:p>
            <w:pPr>
              <w:jc w:val="center"/>
              <w:rPr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  <w:t xml:space="preserve">Прохождение экспертизы промышленной безопасности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4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согласования проектной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56" w:type="dxa"/>
            <w:vMerge w:val="restart"/>
            <w:textDirection w:val="lrTb"/>
            <w:noWrap w:val="false"/>
          </w:tcPr>
          <w:p>
            <w:pPr>
              <w:pStyle w:val="104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30 календарных дней с </w:t>
            </w:r>
            <w:r>
              <w:rPr>
                <w:sz w:val="24"/>
                <w:szCs w:val="24"/>
              </w:rPr>
              <w:t xml:space="preserve">даты согласования проектной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рабочей документации, включая сметную.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4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прохождения экспертизы промышленной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pStyle w:val="104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</w:t>
            </w:r>
            <w:r>
              <w:rPr>
                <w:sz w:val="24"/>
                <w:szCs w:val="24"/>
              </w:rPr>
              <w:t xml:space="preserve">30 календарных дней с </w:t>
            </w:r>
            <w:r>
              <w:rPr>
                <w:sz w:val="24"/>
                <w:szCs w:val="24"/>
              </w:rPr>
              <w:t xml:space="preserve">даты </w:t>
            </w:r>
            <w:r>
              <w:rPr>
                <w:sz w:val="24"/>
                <w:szCs w:val="24"/>
              </w:rPr>
              <w:t xml:space="preserve">прохождения экспертизы промышленной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keepLines/>
        <w:keepNext/>
        <w:spacing w:before="240" w:after="60"/>
        <w:rPr>
          <w:rFonts w:eastAsia="Calibri"/>
          <w:b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  <w:outlineLvl w:val="0"/>
      </w:pPr>
      <w:r/>
      <w:bookmarkStart w:id="23" w:name="_Toc50125131"/>
      <w:r/>
      <w:bookmarkEnd w:id="13"/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09"/>
      </w:pPr>
      <w:r/>
      <w:bookmarkStart w:id="24" w:name="_Toc51339698"/>
      <w:r/>
      <w:bookmarkStart w:id="25" w:name="_Toc54646410"/>
      <w:r>
        <w:t xml:space="preserve">Требования к качеству работ</w:t>
      </w:r>
      <w:r/>
    </w:p>
    <w:p>
      <w:pPr>
        <w:ind w:firstLine="708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соответствии с законом № 184-ФЗ «О техническом регулировании» Подрядчик принимает на себя добровольное обязательство о соблюдении требований правил, технических условий, ГОСТ, ПЭУ и других нормативных</w:t>
      </w:r>
      <w:r>
        <w:rPr>
          <w:sz w:val="24"/>
          <w:szCs w:val="24"/>
          <w:highlight w:val="white"/>
        </w:rPr>
        <w:t xml:space="preserve">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06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</w:t>
      </w:r>
      <w:bookmarkEnd w:id="23"/>
      <w:r/>
      <w:bookmarkEnd w:id="24"/>
      <w:r>
        <w:rPr>
          <w:sz w:val="24"/>
          <w:szCs w:val="24"/>
        </w:rPr>
        <w:t xml:space="preserve">качеству работ</w:t>
      </w:r>
      <w:bookmarkEnd w:id="25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rStyle w:val="1050"/>
          <w:b w:val="0"/>
          <w:iCs/>
          <w:sz w:val="24"/>
          <w:szCs w:val="24"/>
        </w:rPr>
      </w:pPr>
      <w:r>
        <w:rPr>
          <w:b w:val="0"/>
          <w:iCs/>
          <w:sz w:val="24"/>
          <w:szCs w:val="24"/>
        </w:rPr>
      </w:r>
      <w:r>
        <w:rPr>
          <w:rStyle w:val="1050"/>
          <w:b w:val="0"/>
          <w:iCs/>
          <w:sz w:val="24"/>
          <w:szCs w:val="24"/>
        </w:rPr>
      </w:r>
      <w:r>
        <w:rPr>
          <w:rStyle w:val="1050"/>
          <w:b w:val="0"/>
          <w:iCs/>
          <w:sz w:val="24"/>
          <w:szCs w:val="24"/>
        </w:rPr>
      </w:r>
    </w:p>
    <w:tbl>
      <w:tblPr>
        <w:tblStyle w:val="976"/>
        <w:tblW w:w="151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56"/>
        <w:gridCol w:w="2067"/>
        <w:gridCol w:w="7087"/>
        <w:gridCol w:w="2126"/>
        <w:gridCol w:w="2788"/>
      </w:tblGrid>
      <w:tr>
        <w:tblPrEx/>
        <w:trPr/>
        <w:tc>
          <w:tcPr>
            <w:tcW w:w="1056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0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8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91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05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06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08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0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7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57"/>
        </w:trPr>
        <w:tc>
          <w:tcPr>
            <w:tcW w:w="1056" w:type="dxa"/>
            <w:vAlign w:val="center"/>
            <w:textDirection w:val="lrTb"/>
            <w:noWrap w:val="false"/>
          </w:tcPr>
          <w:p>
            <w:pPr>
              <w:pStyle w:val="1019"/>
              <w:numPr>
                <w:ilvl w:val="0"/>
                <w:numId w:val="8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78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19"/>
        </w:trPr>
        <w:tc>
          <w:tcPr>
            <w:tcW w:w="1056" w:type="dxa"/>
            <w:vAlign w:val="center"/>
            <w:vMerge w:val="restart"/>
            <w:textDirection w:val="lrTb"/>
            <w:noWrap w:val="false"/>
          </w:tcPr>
          <w:p>
            <w:pPr>
              <w:pStyle w:val="1019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9154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Основные технические характеристики объекта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788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19"/>
        </w:trPr>
        <w:tc>
          <w:tcPr>
            <w:tcW w:w="1056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1.1.1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gridSpan w:val="2"/>
            <w:tcW w:w="915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Установленная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электрическая мощность электростанции – 720 МВт (четыре энергоблока по 180 МВт).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Энергоблок включает в себя котлоагрегат ТПЕ-215, паровую турбину Т-180/210-130, турбогенератор ТГВ-200-2М. Энергобло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ки ст. №1,2,3 работают на каменном угле Кузнецкого угольного бассейна. Котлоагрегат энергоблока ст.№4 переведён на сжигание природного газа. Очистка дымовых газов на котлоагрегатах №1,2,3 осуществляется в золоулавливающей установке, состоящей из двух элект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рофильтров типа ЭГА-2-56-12-6-4.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золы и шлака – совместное, гидравлическое, багерными насосами типа ГРТ 1250/71Б с возвратом осветлённой воды.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холодных газов рециркуляции (далее – ХГР):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spacing w:before="60" w:after="60"/>
              <w:rPr>
                <w:b w:val="0"/>
                <w:bCs w:val="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Подача холодных газов рециркуляции (ХГР) осуществляется двумя дымососами рециркуляции дымовых газов типа ВМ-18 через сопла, расположенные в холодной воронке топочной камеры на фронтовой и задней стенах по 6 штук (всего 12). Подача ХГР не только увеличивает</w:t>
            </w:r>
            <w:r>
              <w:rPr>
                <w:color w:val="000000" w:themeColor="text1"/>
                <w:sz w:val="24"/>
                <w:szCs w:val="24"/>
              </w:rPr>
              <w:t xml:space="preserve"> температуру промперегрева, но и дополнительно снижает концентрацию оксидов азота (С</w:t>
            </w:r>
            <w:r>
              <w:rPr>
                <w:color w:val="000000" w:themeColor="text1"/>
                <w:sz w:val="24"/>
                <w:szCs w:val="24"/>
                <w:vertAlign w:val="subscript"/>
              </w:rPr>
              <w:t xml:space="preserve">NOx</w:t>
            </w:r>
            <w:r>
              <w:rPr>
                <w:color w:val="000000" w:themeColor="text1"/>
                <w:sz w:val="24"/>
                <w:szCs w:val="24"/>
              </w:rPr>
              <w:t xml:space="preserve">) в уходящих дымовых газах. Подача ХГР в нижнюю часть топки позволяет переместить зону активного горения и тем самым увеличить температуру на выходе из топки и, как следствие, повысить температуру острого пара.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Участник должен предоставить в заявке согласие выполнить работы (оказать услуги),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W w:w="2788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19"/>
        </w:trPr>
        <w:tc>
          <w:tcPr>
            <w:tcW w:w="1056" w:type="dxa"/>
            <w:vAlign w:val="center"/>
            <w:textDirection w:val="lrTb"/>
            <w:noWrap w:val="false"/>
          </w:tcPr>
          <w:p>
            <w:pPr>
              <w:pStyle w:val="1019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788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033"/>
        </w:trPr>
        <w:tc>
          <w:tcPr>
            <w:tcW w:w="1056" w:type="dxa"/>
            <w:vAlign w:val="center"/>
            <w:textDirection w:val="lrTb"/>
            <w:noWrap w:val="false"/>
          </w:tcPr>
          <w:p>
            <w:pPr>
              <w:pStyle w:val="1019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auto" w:fill="auto"/>
            <w:tcW w:w="20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087" w:type="dxa"/>
            <w:textDirection w:val="lrTb"/>
            <w:noWrap w:val="false"/>
          </w:tcPr>
          <w:p>
            <w:pPr>
              <w:pStyle w:val="1019"/>
              <w:ind w:left="0"/>
              <w:jc w:val="both"/>
            </w:pPr>
            <w:r>
              <w:rPr>
                <w:bCs/>
                <w:sz w:val="23"/>
                <w:szCs w:val="23"/>
              </w:rPr>
              <w:t xml:space="preserve">Работы подлежат выполнению Подрядчиком в строгом соответствии с требованиями СНиП, тре</w:t>
            </w:r>
            <w:r>
              <w:rPr>
                <w:bCs/>
                <w:sz w:val="23"/>
                <w:szCs w:val="23"/>
              </w:rPr>
              <w:t xml:space="preserve">бованиями Применимого права и указаниями Заказчика. Руководствоваться национальными отраслевыми и корпоративными нормативно-техническим документам (НТД)</w:t>
            </w:r>
            <w:r>
              <w:rPr>
                <w:spacing w:val="-5"/>
              </w:rPr>
              <w:t xml:space="preserve"> и нормативно-правовыми актами (НПА), действующим для энергетических предприятий на территории РФ</w:t>
            </w:r>
            <w:r/>
          </w:p>
        </w:tc>
        <w:tc>
          <w:tcPr>
            <w:shd w:val="clear" w:color="auto" w:fill="auto"/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before="60" w:after="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Участник должен предоставить в заявке согласие выполнить работы (оказать услуги),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788" w:type="dxa"/>
            <w:textDirection w:val="lrTb"/>
            <w:noWrap w:val="false"/>
          </w:tcPr>
          <w:p>
            <w:pPr>
              <w:pStyle w:val="1044"/>
              <w:keepNext w:val="0"/>
              <w:spacing w:before="0"/>
              <w:tabs>
                <w:tab w:val="left" w:pos="1410" w:leader="none"/>
                <w:tab w:val="center" w:pos="1512" w:leader="none"/>
              </w:tabs>
              <w:rPr>
                <w:rFonts w:eastAsia="Times New Roman"/>
              </w:rPr>
              <w:outlineLvl w:val="2"/>
            </w:pPr>
            <w:r/>
            <w:bookmarkStart w:id="26" w:name="_Toc152928717"/>
            <w:r/>
            <w:bookmarkStart w:id="27" w:name="_Toc153292630"/>
            <w:r/>
            <w:bookmarkStart w:id="28" w:name="_Toc153787997"/>
            <w:r/>
            <w:bookmarkEnd w:id="26"/>
            <w:r/>
            <w:bookmarkEnd w:id="27"/>
            <w:r/>
            <w:bookmarkEnd w:id="28"/>
            <w:r>
              <w:t xml:space="preserve"> - 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>
          <w:trHeight w:val="2033"/>
        </w:trPr>
        <w:tc>
          <w:tcPr>
            <w:tcW w:w="1056" w:type="dxa"/>
            <w:vAlign w:val="center"/>
            <w:vMerge w:val="restart"/>
            <w:textDirection w:val="lrTb"/>
            <w:noWrap w:val="false"/>
          </w:tcPr>
          <w:p>
            <w:pPr>
              <w:pStyle w:val="1019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ffffff" w:fill="ffffff"/>
            <w:tcW w:w="2067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Основные объемы работ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ffffff" w:fill="ffffff"/>
            <w:tcW w:w="708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Сбор исходных данных для выполнения проектно-изыскательс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ких работ.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Выполнение комплексного инженерно-технического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обследования существующей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системы рециркуляции дымовых газов 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отлоагрегатов ТПЕ-215 энергоблоков №1, 2, 3, в том числе: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обследование котлоагрегатов ТПЕ-215 энергоблоков №1, 2, 3 с целью провер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газовой плотности котла и градуировки сечений пылегазовоздуховодов;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пределение характеристик эксплуатационного режима котлоагрегатов ТПЕ-215 э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нергоблоков №1, 2, 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и оценка влияния рециркуляции дымовых газов на технико-экономические и экологические па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раметры работы котла;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тепловой расчет и расчет аэродинамического сопротивление газовоздушного тракта котлоагрегатов ТПЕ-215 э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нергоблоков №1, 2, 3;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подготовка выводов, предложений, рекомендаций, разработка основных технических решений (ОТР) по модерниза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ции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системы рециркуляции дымовых газов (горелка, тягодутьевые машины, газоход рециркуляции дымовых газов);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выполнение комплекса инженерных изысканий (геодезических, геологических и т.д.) в случае необходимости (уточняется по результатам разработки ОТР);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разработка и согласование с заказчиком отчета по результатам инженерно-технического обследования.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Разработка проектной документации в соответствии с Постановлением Правительства РФ от 16.02.2008 №87 «О составе разделов проектной документации и требов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ания к их содержанию».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При разработке проектной документации предусмотреть выделение 3-х этапов (модернизацию системы рециркуляции дымовых газов для каждого котлоагрегата ТПЕ-215 выделить в отдельный этап строительства).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По каждому этапу должен быть разра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ботан отдельный комплект проектной документации.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4.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охождение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экспертизы промышленной безопасности проекта (при этом проектная документация не подлежит обязательной экспертизе согласно части 3 статьи 49 Градостроительного кодекса РФ).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Разр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аботка рабочей и сметной документации.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По каждому этапу должен быть разработан отдельный комплект рабочей и сметной документации.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19"/>
              <w:ind w:left="0"/>
              <w:jc w:val="both"/>
              <w:rPr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 состав рабочей документации должен входить отдельный том, содержащий сводную спецификацию применяемых материалов, изделий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оборудования.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ffffff" w:fill="ffffff"/>
            <w:tcW w:w="212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788" w:type="dxa"/>
            <w:vMerge w:val="restart"/>
            <w:textDirection w:val="lrTb"/>
            <w:noWrap w:val="false"/>
          </w:tcPr>
          <w:p>
            <w:pPr>
              <w:pStyle w:val="1044"/>
              <w:keepNext w:val="0"/>
              <w:spacing w:before="0"/>
              <w:tabs>
                <w:tab w:val="left" w:pos="1410" w:leader="none"/>
                <w:tab w:val="center" w:pos="1512" w:leader="none"/>
              </w:tabs>
              <w:outlineLvl w:val="2"/>
            </w:pPr>
            <w:r>
              <w:t xml:space="preserve"> - </w:t>
            </w:r>
            <w:r/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25"/>
              <w:spacing w:before="60" w:after="6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1.</w:t>
            </w:r>
            <w:r>
              <w:rPr>
                <w:b/>
                <w:highlight w:val="white"/>
              </w:rPr>
              <w:t xml:space="preserve">3</w:t>
            </w:r>
            <w:r>
              <w:rPr>
                <w:b/>
                <w:highlight w:val="white"/>
              </w:rPr>
              <w:t xml:space="preserve">.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1019"/>
              <w:ind w:left="0"/>
              <w:jc w:val="both"/>
            </w:pPr>
            <w:r>
              <w:rPr>
                <w:b/>
              </w:rPr>
              <w:t xml:space="preserve">Требования к способам оказания услуг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788" w:type="dxa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6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Требования к процессу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pStyle w:val="1019"/>
              <w:ind w:left="0"/>
              <w:jc w:val="both"/>
            </w:pPr>
            <w:r>
              <w:t xml:space="preserve">Все замечания надзорных органов, а также несоответствия проектных решений требованиям нормативных и законодательных актов, устраняются Подрядчиком за счёт собственных средств, с внесением необходимых исправлений и изменений в документацию.</w:t>
            </w:r>
            <w:r/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r>
              <w:rPr>
                <w:b w:val="0"/>
                <w:bCs w:val="0"/>
                <w:sz w:val="24"/>
                <w:szCs w:val="24"/>
              </w:rPr>
              <w:t xml:space="preserve">Участник должен предоставить в заявке согласие выполнить работы (оказать услуги),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W w:w="2788" w:type="dxa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6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Основные требования к применяемому оборудованию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pStyle w:val="1019"/>
              <w:ind w:left="0"/>
              <w:jc w:val="both"/>
            </w:pPr>
            <w:r>
              <w:t xml:space="preserve">Не допускается указание Подрядчиком в документации, в том числе спецификациях, материалов и изделий конкретных производителей. Указываются только тип, марка, и характеристики материалов и изделий.</w:t>
            </w:r>
            <w:r/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88" w:type="dxa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6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Требования к изменениям в</w:t>
            </w:r>
            <w:r>
              <w:rPr>
                <w:sz w:val="24"/>
              </w:rPr>
              <w:t xml:space="preserve"> проектной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pStyle w:val="1019"/>
              <w:ind w:left="0"/>
              <w:jc w:val="both"/>
            </w:pPr>
            <w:r>
              <w:t xml:space="preserve">При направлении откорректированных материалов Подрядчиком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</w:t>
            </w:r>
            <w:r>
              <w:t xml:space="preserve"> по тексту документов.</w:t>
            </w:r>
            <w:r/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88" w:type="dxa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  <w:rPr>
                <w:b/>
              </w:rPr>
            </w:pPr>
            <w:r>
              <w:rPr>
                <w:b/>
              </w:rPr>
              <w:t xml:space="preserve">1.4.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1019"/>
              <w:ind w:left="0"/>
              <w:jc w:val="both"/>
            </w:pPr>
            <w:r>
              <w:rPr>
                <w:b/>
              </w:rPr>
              <w:t xml:space="preserve">Требования к применяемым при оказании услуг оборудованию, материалам, программно-аппаратным средствам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788" w:type="dxa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</w:pPr>
            <w:r>
              <w:rPr>
                <w:sz w:val="24"/>
                <w:szCs w:val="24"/>
              </w:rPr>
              <w:t xml:space="preserve">1.4.1</w:t>
            </w:r>
            <w:r/>
          </w:p>
        </w:tc>
        <w:tc>
          <w:tcPr>
            <w:tcW w:w="20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Применяемые материалы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7087" w:type="dxa"/>
            <w:vAlign w:val="center"/>
            <w:textDirection w:val="lrTb"/>
            <w:noWrap w:val="false"/>
          </w:tcPr>
          <w:p>
            <w:pPr>
              <w:ind w:firstLine="284"/>
              <w:jc w:val="both"/>
              <w:spacing w:line="240" w:lineRule="auto"/>
              <w:tabs>
                <w:tab w:val="left" w:pos="382" w:leader="none"/>
              </w:tabs>
              <w:rPr>
                <w:sz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4"/>
                <w:highlight w:val="white"/>
              </w:rPr>
              <w:t xml:space="preserve">1. Применяемые в проектных решениях изделия, оборудование и материалы должны соответствовать государственным стандартам, иметь соответствующие сертификаты (в том числе на продукцию, подлежащую обязательной сертификации), технические паспорта и другие докум</w:t>
            </w:r>
            <w:r>
              <w:rPr>
                <w:sz w:val="24"/>
                <w:highlight w:val="white"/>
              </w:rPr>
              <w:t xml:space="preserve">енты, удостоверяющие их качество и применимость для данных условий эксплуатации. 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  <w:p>
            <w:pPr>
              <w:ind w:firstLine="284"/>
              <w:jc w:val="both"/>
              <w:spacing w:line="240" w:lineRule="auto"/>
              <w:tabs>
                <w:tab w:val="left" w:pos="673" w:leader="none"/>
              </w:tabs>
              <w:rPr>
                <w:sz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4"/>
                <w:highlight w:val="white"/>
              </w:rPr>
              <w:t xml:space="preserve">Программные продукты, а также отдельные программно-аппаратные средства (системы) в его составе должны иметь соответствующие лицензии. 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  <w:p>
            <w:pPr>
              <w:pStyle w:val="1019"/>
              <w:ind w:left="0" w:firstLine="313"/>
              <w:jc w:val="both"/>
              <w:spacing w:line="240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2. При разработке проектной документации включая сметную предусматривать материалы, изделия и оборудование Российского производства.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0" w:right="0" w:firstLine="0"/>
              <w:jc w:val="both"/>
              <w:spacing w:before="0" w:line="240" w:lineRule="auto"/>
              <w:shd w:val="clear" w:color="ffffff" w:fill="ffffff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  <w:highlight w:val="white"/>
              </w:rPr>
              <w:t xml:space="preserve">3. </w:t>
            </w:r>
            <w:r>
              <w:rPr>
                <w:sz w:val="24"/>
                <w:szCs w:val="24"/>
                <w:highlight w:val="white"/>
              </w:rPr>
              <w:t xml:space="preserve">Соответствие требованиям Постановления Правительства Российской Федерации от 23.12.2024 №1875 </w:t>
            </w:r>
            <w:r>
              <w:rPr>
                <w:sz w:val="24"/>
                <w:szCs w:val="24"/>
                <w:highlight w:val="white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212529"/>
                <w:sz w:val="24"/>
                <w:szCs w:val="24"/>
                <w:highlight w:val="white"/>
              </w:rPr>
      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212529"/>
                <w:sz w:val="24"/>
                <w:szCs w:val="24"/>
                <w:highlight w:val="white"/>
              </w:rPr>
              <w:t xml:space="preserve">г отдельными видами юридических лиц».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Участник должен предоставить в заявке согласие выполнить работы (оказать услуги),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r/>
            <w:r/>
          </w:p>
        </w:tc>
        <w:tc>
          <w:tcPr>
            <w:shd w:val="clear" w:color="auto" w:fill="auto"/>
            <w:tcW w:w="278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</w:pPr>
            <w:r>
              <w:rPr>
                <w:b/>
              </w:rPr>
              <w:t xml:space="preserve">1.5</w:t>
            </w:r>
            <w:r/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1019"/>
              <w:ind w:left="0"/>
              <w:jc w:val="both"/>
            </w:pPr>
            <w:r>
              <w:rPr>
                <w:b/>
              </w:rPr>
              <w:t xml:space="preserve">Требования к процедурам оказания услуг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788" w:type="dxa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67" w:type="dxa"/>
            <w:vAlign w:val="center"/>
            <w:textDirection w:val="lrTb"/>
            <w:noWrap w:val="false"/>
          </w:tcPr>
          <w:p>
            <w:pPr>
              <w:ind w:right="-97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Конструктивные и объемно-планировочные решения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pStyle w:val="1019"/>
              <w:ind w:left="0"/>
              <w:jc w:val="both"/>
            </w:pPr>
            <w:r>
              <w:t xml:space="preserve">Работы выполнить согласно требованиям действующих нормативных документов, при этом предусмотреть применение современных строительных материалов, изделий, конструкций и строительных технологий, отвечающих санит</w:t>
            </w:r>
            <w:r>
              <w:t xml:space="preserve">арным требованиям, пожарной безопасности, строительным нормам и правилам, техническим регламентам.</w:t>
            </w:r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Участник должен предоставить в заявке согласие выполнить работы (оказать услуги),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788" w:type="dxa"/>
            <w:vAlign w:val="center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  <w:rPr>
                <w:b/>
              </w:rPr>
            </w:pPr>
            <w:r>
              <w:rPr>
                <w:b/>
              </w:rPr>
              <w:t xml:space="preserve">1.6.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1019"/>
              <w:ind w:left="0"/>
              <w:jc w:val="both"/>
            </w:pPr>
            <w:r>
              <w:rPr>
                <w:b/>
              </w:rPr>
              <w:t xml:space="preserve">Требования к безопасности работ и охране труда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788" w:type="dxa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1.6.1.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6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Требования пожарной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pStyle w:val="1019"/>
              <w:ind w:left="0"/>
              <w:jc w:val="both"/>
            </w:pPr>
            <w:r>
              <w:rPr>
                <w:bCs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Проектную документацию выполнить с учетом «Технического регламента о требованиях пожарной безопасности (ФЗ № 123 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22.07.2008), Инструкции по проектированию противопожарной защиты энергетических предприятий (РД 153-34.0-49.101-2003) и иных нормативно-технических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Участник должен предоставить в заявке согласие выполнить работы (оказать услуги),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78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  <w:rPr>
                <w:b/>
              </w:rPr>
            </w:pPr>
            <w:r>
              <w:rPr>
                <w:b/>
              </w:rPr>
              <w:t xml:space="preserve">2.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1019"/>
              <w:ind w:left="0"/>
              <w:jc w:val="both"/>
            </w:pPr>
            <w:r>
              <w:rPr>
                <w:b/>
                <w:bCs/>
              </w:rPr>
              <w:t xml:space="preserve">Требования к результатам работ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788" w:type="dxa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1019"/>
              <w:ind w:left="0"/>
              <w:jc w:val="both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Общие требования к результатам работ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788" w:type="dxa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jc w:val="center"/>
              <w:spacing w:before="60" w:after="60"/>
            </w:pPr>
            <w:r>
              <w:rPr>
                <w:sz w:val="24"/>
                <w:szCs w:val="24"/>
              </w:rPr>
              <w:t xml:space="preserve">2.1.1.</w:t>
            </w:r>
            <w:r/>
          </w:p>
        </w:tc>
        <w:tc>
          <w:tcPr>
            <w:tcW w:w="20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Требования к результату проектных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87" w:type="dxa"/>
            <w:vAlign w:val="center"/>
            <w:textDirection w:val="lrTb"/>
            <w:noWrap w:val="false"/>
          </w:tcPr>
          <w:p>
            <w:pPr>
              <w:jc w:val="both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Проектная документация разр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абатывается на основании технического задания в соответствии со следующими национальными, отраслевыми нормативно-техническими документами (НТД), определяющими требования к оформлению и содержанию проекта):</w:t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jc w:val="both"/>
              <w:shd w:val="clear" w:color="auto" w:fill="ffffff"/>
              <w:tabs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bidi="ru-RU"/>
              </w:rPr>
              <w:t xml:space="preserve">- Постановление Правительства Российской Федерации № 87 от 16.02.2008 «О составе разделов проектной документации и требованиях к их содержанию». </w:t>
            </w:r>
            <w:r>
              <w:rPr>
                <w:spacing w:val="-5"/>
                <w:sz w:val="24"/>
                <w:szCs w:val="24"/>
                <w:lang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1019"/>
              <w:ind w:left="0"/>
              <w:jc w:val="both"/>
            </w:pPr>
            <w:r>
              <w:rPr>
                <w:spacing w:val="-5"/>
                <w:lang w:bidi="ru-RU"/>
              </w:rPr>
              <w:t xml:space="preserve">- в составе проектной документации разработать сметную документацию с уточнением объема и стоимости работ. Пр</w:t>
            </w:r>
            <w:r>
              <w:rPr>
                <w:spacing w:val="-5"/>
                <w:lang w:bidi="ru-RU"/>
              </w:rPr>
              <w:t xml:space="preserve">оектную документацию согласовать в требуемом объеме с СП «Хабаровская ТЭЦ-3», а также со сторонними заинтересованными организациями.</w:t>
            </w:r>
            <w:r/>
          </w:p>
        </w:tc>
        <w:tc>
          <w:tcPr>
            <w:shd w:val="clear" w:color="auto" w:fill="auto"/>
            <w:tcW w:w="2126" w:type="dxa"/>
            <w:vAlign w:val="center"/>
            <w:vMerge w:val="restart"/>
            <w:textDirection w:val="lrTb"/>
            <w:noWrap w:val="false"/>
          </w:tcPr>
          <w:p>
            <w:r>
              <w:rPr>
                <w:b w:val="0"/>
                <w:bCs w:val="0"/>
                <w:sz w:val="24"/>
                <w:szCs w:val="24"/>
              </w:rPr>
              <w:t xml:space="preserve">Участник должен предоставить в заявке согласие выполнить работы (оказать услуги),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  <w:sz w:val="24"/>
                <w:szCs w:val="24"/>
              </w:rPr>
            </w:r>
            <w:r/>
          </w:p>
          <w:p>
            <w:r/>
            <w:r/>
          </w:p>
        </w:tc>
        <w:tc>
          <w:tcPr>
            <w:shd w:val="clear" w:color="auto" w:fill="auto"/>
            <w:tcW w:w="2788" w:type="dxa"/>
            <w:vAlign w:val="center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jc w:val="center"/>
              <w:spacing w:before="60" w:after="60"/>
            </w:pPr>
            <w:r>
              <w:rPr>
                <w:sz w:val="24"/>
                <w:szCs w:val="24"/>
              </w:rPr>
              <w:t xml:space="preserve">2.1.2.</w:t>
            </w:r>
            <w:r/>
          </w:p>
        </w:tc>
        <w:tc>
          <w:tcPr>
            <w:tcW w:w="20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Требования к результату согласований рабочей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87" w:type="dxa"/>
            <w:vAlign w:val="center"/>
            <w:textDirection w:val="lrTb"/>
            <w:noWrap w:val="false"/>
          </w:tcPr>
          <w:p>
            <w:pPr>
              <w:pStyle w:val="1019"/>
              <w:ind w:left="0"/>
              <w:jc w:val="both"/>
            </w:pPr>
            <w:r>
              <w:rPr>
                <w:spacing w:val="-5"/>
                <w:lang w:bidi="ru-RU"/>
              </w:rPr>
              <w:t xml:space="preserve">Состав разделов, их объем должен соответствовать требованиям ГОСТ Р 21.101-2020 «Системы проектной документации для строительства. Основные требования к проектной и рабочей документации»</w:t>
            </w:r>
            <w:r/>
          </w:p>
        </w:tc>
        <w:tc>
          <w:tcPr>
            <w:shd w:val="clear" w:color="auto" w:fill="auto"/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88" w:type="dxa"/>
            <w:vAlign w:val="center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vMerge w:val="restart"/>
            <w:textDirection w:val="lrTb"/>
            <w:noWrap w:val="false"/>
          </w:tcPr>
          <w:p>
            <w:pPr>
              <w:ind w:left="37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67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Конструктивные и объемно-планировочные решения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7087" w:type="dxa"/>
            <w:vAlign w:val="center"/>
            <w:vMerge w:val="restart"/>
            <w:textDirection w:val="lrTb"/>
            <w:noWrap w:val="false"/>
          </w:tcPr>
          <w:p>
            <w:pPr>
              <w:pStyle w:val="1019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Рабочая документация на проект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модернизации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системы рециркуляции дымовых газов должен быть выполнен в соответствии с: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1019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 ГОСТ Р 59412-2022 «Конструкции для удаления дымовых газов. Общие требования»;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1019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 ГОСТ Р 59375.1-2021 «Конструкции для удаления дымовых газов. Требования к металлическим конструкциям для удаления дымовых газов»;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Конструктивные решения по реконструкции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газовоздушного тракта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подбор 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ымосос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рециркуляции дымовых газов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далее-ДРГ)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принимается с учетом аэродинамического расчета котлоагрегатов ТПЕ-215 оптимального коэффициента избытка воздуха, определенного характеристиками эксплуатационного режима;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1019"/>
              <w:ind w:left="0"/>
              <w:jc w:val="both"/>
              <w:rPr>
                <w:spacing w:val="-5"/>
                <w:lang w:bidi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3.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ланировочные решения по прокладки трубопроводов рециркуляции дымовых газов, размещению ДРГ определяются в зависимости существующей компоновки котлоагрегатов КА-1, 2, 3, с использованием существующих конструкций </w:t>
            </w:r>
            <w:r>
              <w:rPr>
                <w:spacing w:val="-5"/>
                <w:lang w:bidi="ru-RU"/>
              </w:rPr>
            </w:r>
            <w:r>
              <w:rPr>
                <w:spacing w:val="-5"/>
                <w:lang w:bidi="ru-RU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788" w:type="dxa"/>
            <w:vAlign w:val="center"/>
            <w:vMerge w:val="restart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 - 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vMerge w:val="restart"/>
            <w:textDirection w:val="lrTb"/>
            <w:noWrap w:val="false"/>
          </w:tcPr>
          <w:p>
            <w:pPr>
              <w:ind w:left="37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67" w:type="dxa"/>
            <w:vAlign w:val="center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Требования к технологическим решениям</w:t>
            </w:r>
            <w:r>
              <w:rPr>
                <w:b w:val="0"/>
                <w:bCs w:val="0"/>
                <w:sz w:val="24"/>
              </w:rPr>
            </w:r>
            <w:r>
              <w:rPr>
                <w:b w:val="0"/>
                <w:bCs w:val="0"/>
                <w:sz w:val="24"/>
              </w:rPr>
            </w:r>
          </w:p>
        </w:tc>
        <w:tc>
          <w:tcPr>
            <w:tcW w:w="708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Технологические решения принимаются из анализа конструктивных и инженерных решений по оптимальному балансу экологических показателей и ТЭП после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м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р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з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ц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использовать установленные горелки, обеспечив круг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лую форму газоходов, оснащение их шиберами с у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правлением электромеханическими приводами (МЭО), а также установку предохранительных клапанов при необходимости.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077"/>
              <w:jc w:val="both"/>
              <w:spacing w:before="60" w:beforeAutospacing="0" w:after="0" w:afterAutospacing="0"/>
              <w:tabs>
                <w:tab w:val="left" w:pos="0" w:leader="none"/>
              </w:tabs>
              <w:rPr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Требования к автоматизации: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06"/>
              <w:numPr>
                <w:ilvl w:val="0"/>
                <w:numId w:val="0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outlineLvl w:val="2"/>
            </w:pPr>
            <w:r>
              <w:rPr>
                <w:rStyle w:val="1078"/>
                <w:rFonts w:ascii="Times New Roman" w:hAnsi="Times New Roman" w:cs="Times New Roman"/>
                <w:b w:val="0"/>
                <w:bCs w:val="0"/>
                <w:color w:val="000000" w:themeColor="text1"/>
                <w:spacing w:val="-5"/>
                <w:sz w:val="24"/>
                <w:szCs w:val="24"/>
              </w:rPr>
              <w:t xml:space="preserve">1. Контроль расхода рециркулирующих газов</w:t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</w:r>
          </w:p>
          <w:p>
            <w:pPr>
              <w:pStyle w:val="1079"/>
              <w:jc w:val="both"/>
              <w:spacing w:before="0" w:beforeAutospacing="0" w:after="0" w:afterAutospacing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trike/>
                <w:color w:val="000000" w:themeColor="text1"/>
                <w:spacing w:val="-5"/>
              </w:rPr>
            </w:pPr>
            <w:r>
              <w:rPr>
                <w:rStyle w:val="1078"/>
                <w:rFonts w:eastAsia="Arial"/>
                <w:b w:val="0"/>
                <w:bCs w:val="0"/>
                <w:color w:val="000000" w:themeColor="text1"/>
                <w:spacing w:val="-5"/>
              </w:rPr>
              <w:t xml:space="preserve">Необходимо обеспечить точный контроль объема рециркулирующего газа, подаваемого обратно в топочную камеру котла. </w:t>
            </w:r>
            <w:r>
              <w:rPr>
                <w:strike/>
                <w:color w:val="000000" w:themeColor="text1"/>
                <w:spacing w:val="-5"/>
              </w:rPr>
            </w:r>
            <w:r>
              <w:rPr>
                <w:strike/>
                <w:color w:val="000000" w:themeColor="text1"/>
                <w:spacing w:val="-5"/>
              </w:rPr>
            </w:r>
          </w:p>
          <w:p>
            <w:pPr>
              <w:pStyle w:val="806"/>
              <w:numPr>
                <w:ilvl w:val="0"/>
                <w:numId w:val="0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outlineLvl w:val="2"/>
            </w:pPr>
            <w:r>
              <w:rPr>
                <w:rStyle w:val="1078"/>
                <w:rFonts w:ascii="Times New Roman" w:hAnsi="Times New Roman" w:cs="Times New Roman"/>
                <w:b w:val="0"/>
                <w:bCs w:val="0"/>
                <w:color w:val="000000" w:themeColor="text1"/>
                <w:spacing w:val="-5"/>
                <w:sz w:val="24"/>
                <w:szCs w:val="24"/>
              </w:rPr>
              <w:t xml:space="preserve">2. Регулирование давления в газовом тракте</w:t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</w:r>
          </w:p>
          <w:p>
            <w:pPr>
              <w:pStyle w:val="1079"/>
              <w:jc w:val="both"/>
              <w:spacing w:before="0" w:beforeAutospacing="0" w:after="0" w:afterAutospacing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color w:val="000000" w:themeColor="text1"/>
                <w:spacing w:val="-5"/>
              </w:rPr>
            </w:pPr>
            <w:r>
              <w:rPr>
                <w:rStyle w:val="1078"/>
                <w:rFonts w:eastAsia="Arial"/>
                <w:b w:val="0"/>
                <w:bCs w:val="0"/>
                <w:color w:val="000000" w:themeColor="text1"/>
                <w:spacing w:val="-5"/>
              </w:rPr>
              <w:t xml:space="preserve">Автоматизация должна поддерживать заданный уровень давления в газовой магистрали перед вводом рециркулируемого газа. </w:t>
            </w:r>
            <w:r>
              <w:rPr>
                <w:color w:val="000000" w:themeColor="text1"/>
                <w:spacing w:val="-5"/>
              </w:rPr>
            </w:r>
            <w:r>
              <w:rPr>
                <w:color w:val="000000" w:themeColor="text1"/>
                <w:spacing w:val="-5"/>
              </w:rPr>
            </w:r>
          </w:p>
          <w:p>
            <w:pPr>
              <w:pStyle w:val="806"/>
              <w:numPr>
                <w:ilvl w:val="0"/>
                <w:numId w:val="0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outlineLvl w:val="2"/>
            </w:pPr>
            <w:r>
              <w:rPr>
                <w:rStyle w:val="1078"/>
                <w:rFonts w:ascii="Times New Roman" w:hAnsi="Times New Roman" w:cs="Times New Roman"/>
                <w:b w:val="0"/>
                <w:bCs w:val="0"/>
                <w:color w:val="000000" w:themeColor="text1"/>
                <w:spacing w:val="-5"/>
                <w:sz w:val="24"/>
                <w:szCs w:val="24"/>
              </w:rPr>
              <w:t xml:space="preserve">3. Управление температурой газовоздушной смеси</w:t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</w:r>
          </w:p>
          <w:p>
            <w:pPr>
              <w:pStyle w:val="1079"/>
              <w:jc w:val="both"/>
              <w:spacing w:before="0" w:beforeAutospacing="0" w:after="0" w:afterAutospacing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color w:val="000000" w:themeColor="text1"/>
                <w:spacing w:val="-5"/>
              </w:rPr>
            </w:pPr>
            <w:r>
              <w:rPr>
                <w:rStyle w:val="1078"/>
                <w:rFonts w:eastAsia="Arial"/>
                <w:b w:val="0"/>
                <w:bCs w:val="0"/>
                <w:color w:val="000000" w:themeColor="text1"/>
                <w:spacing w:val="-5"/>
              </w:rPr>
              <w:t xml:space="preserve">Система должна обеспечивать поддержание оптимальной температуры горения путем автоматическо</w:t>
            </w:r>
            <w:r>
              <w:rPr>
                <w:rStyle w:val="1078"/>
                <w:rFonts w:eastAsia="Arial"/>
                <w:b w:val="0"/>
                <w:bCs w:val="0"/>
                <w:color w:val="000000" w:themeColor="text1"/>
                <w:spacing w:val="-5"/>
              </w:rPr>
              <w:t xml:space="preserve">го изменения доли рециркулированных дымовых газов. </w:t>
            </w:r>
            <w:r>
              <w:rPr>
                <w:color w:val="000000" w:themeColor="text1"/>
                <w:spacing w:val="-5"/>
              </w:rPr>
            </w:r>
            <w:r>
              <w:rPr>
                <w:color w:val="000000" w:themeColor="text1"/>
                <w:spacing w:val="-5"/>
              </w:rPr>
            </w:r>
          </w:p>
          <w:p>
            <w:pPr>
              <w:pStyle w:val="806"/>
              <w:numPr>
                <w:ilvl w:val="0"/>
                <w:numId w:val="0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outlineLvl w:val="2"/>
            </w:pPr>
            <w:r>
              <w:rPr>
                <w:rStyle w:val="1078"/>
                <w:rFonts w:ascii="Times New Roman" w:hAnsi="Times New Roman" w:cs="Times New Roman"/>
                <w:b w:val="0"/>
                <w:bCs w:val="0"/>
                <w:color w:val="000000" w:themeColor="text1"/>
                <w:spacing w:val="-5"/>
                <w:sz w:val="24"/>
                <w:szCs w:val="24"/>
              </w:rPr>
              <w:t xml:space="preserve">4. Обеспечение безопасности процесса</w:t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</w:r>
          </w:p>
          <w:p>
            <w:pPr>
              <w:pStyle w:val="1079"/>
              <w:jc w:val="both"/>
              <w:spacing w:before="0" w:beforeAutospacing="0" w:after="0" w:afterAutospacing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color w:val="000000" w:themeColor="text1"/>
                <w:spacing w:val="-5"/>
              </w:rPr>
            </w:pPr>
            <w:r>
              <w:rPr>
                <w:rStyle w:val="1078"/>
                <w:rFonts w:eastAsia="Arial"/>
                <w:b w:val="0"/>
                <w:bCs w:val="0"/>
                <w:color w:val="000000" w:themeColor="text1"/>
                <w:spacing w:val="-5"/>
              </w:rPr>
              <w:t xml:space="preserve">При внедрении автоматической системы управления важно предусмотреть защитные блокировки, предотвращающие подачу избыточного количества рециркулируемых газов, </w:t>
            </w:r>
            <w:r>
              <w:rPr>
                <w:rStyle w:val="1078"/>
                <w:rFonts w:eastAsia="Arial"/>
                <w:b w:val="0"/>
                <w:bCs w:val="0"/>
                <w:color w:val="000000" w:themeColor="text1"/>
                <w:spacing w:val="-5"/>
              </w:rPr>
              <w:t xml:space="preserve">способных</w:t>
            </w:r>
            <w:r>
              <w:rPr>
                <w:rStyle w:val="1078"/>
                <w:rFonts w:eastAsia="Arial"/>
                <w:b w:val="0"/>
                <w:bCs w:val="0"/>
                <w:color w:val="000000" w:themeColor="text1"/>
                <w:spacing w:val="-5"/>
              </w:rPr>
              <w:t xml:space="preserve"> привести к нестабильному горению, взрывам или аварийным ситуациям. Система должна иметь защиту от превышения предельно допустимых концентраций СО и NOₓ.</w:t>
            </w:r>
            <w:r>
              <w:rPr>
                <w:color w:val="000000" w:themeColor="text1"/>
                <w:spacing w:val="-5"/>
              </w:rPr>
            </w:r>
            <w:r>
              <w:rPr>
                <w:color w:val="000000" w:themeColor="text1"/>
                <w:spacing w:val="-5"/>
              </w:rPr>
            </w:r>
          </w:p>
          <w:p>
            <w:pPr>
              <w:pStyle w:val="806"/>
              <w:numPr>
                <w:ilvl w:val="0"/>
                <w:numId w:val="0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outlineLvl w:val="2"/>
            </w:pPr>
            <w:r>
              <w:rPr>
                <w:rStyle w:val="1078"/>
                <w:rFonts w:ascii="Times New Roman" w:hAnsi="Times New Roman" w:cs="Times New Roman"/>
                <w:b w:val="0"/>
                <w:bCs w:val="0"/>
                <w:color w:val="000000" w:themeColor="text1"/>
                <w:spacing w:val="-5"/>
                <w:sz w:val="24"/>
                <w:szCs w:val="24"/>
              </w:rPr>
              <w:t xml:space="preserve">5. Автоматический мониторинг состояния оборудования</w:t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</w:r>
          </w:p>
          <w:p>
            <w:pPr>
              <w:pStyle w:val="1079"/>
              <w:jc w:val="both"/>
              <w:spacing w:before="0" w:beforeAutospacing="0" w:after="0" w:afterAutospacing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highlight w:val="white"/>
              </w:rPr>
            </w:pPr>
            <w:r>
              <w:rPr>
                <w:rStyle w:val="1078"/>
                <w:rFonts w:eastAsia="Arial"/>
                <w:b w:val="0"/>
                <w:bCs w:val="0"/>
                <w:color w:val="000000" w:themeColor="text1"/>
                <w:spacing w:val="-5"/>
              </w:rPr>
              <w:t xml:space="preserve">Для поддержания надежной работы оборудования необх</w:t>
            </w:r>
            <w:r>
              <w:rPr>
                <w:rStyle w:val="1078"/>
                <w:rFonts w:eastAsia="Arial"/>
                <w:b w:val="0"/>
                <w:bCs w:val="0"/>
                <w:color w:val="000000" w:themeColor="text1"/>
                <w:spacing w:val="-5"/>
              </w:rPr>
              <w:t xml:space="preserve">одимо контролировать состояние всех элементов системы рециркуляции, включая запорную арматуру, вентиляторы. Данные мониторинга используются системой автоматизации для своевременного выявления неисправностей и предотвращения отказов.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788" w:type="dxa"/>
            <w:vAlign w:val="center"/>
            <w:vMerge w:val="restart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 - 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vMerge w:val="restart"/>
            <w:textDirection w:val="lrTb"/>
            <w:noWrap w:val="false"/>
          </w:tcPr>
          <w:p>
            <w:pPr>
              <w:ind w:left="37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67" w:type="dxa"/>
            <w:vAlign w:val="center"/>
            <w:vMerge w:val="restart"/>
            <w:textDirection w:val="lrTb"/>
            <w:noWrap w:val="false"/>
          </w:tcPr>
          <w:p>
            <w:pPr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Требования к технологическим решениям в электрической части</w:t>
            </w:r>
            <w:r>
              <w:rPr>
                <w:b w:val="0"/>
                <w:bCs w:val="0"/>
                <w:sz w:val="24"/>
              </w:rPr>
            </w:r>
            <w:r>
              <w:rPr>
                <w:b w:val="0"/>
                <w:bCs w:val="0"/>
                <w:sz w:val="24"/>
              </w:rPr>
            </w:r>
          </w:p>
        </w:tc>
        <w:tc>
          <w:tcPr>
            <w:tcW w:w="708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По результатам проектирования, при замене ДРГ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788" w:type="dxa"/>
            <w:vAlign w:val="center"/>
            <w:vMerge w:val="restart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 - 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1019"/>
              <w:ind w:left="0"/>
              <w:jc w:val="both"/>
              <w:rPr>
                <w:spacing w:val="-5"/>
                <w:lang w:bidi="ru-RU"/>
              </w:rPr>
            </w:pPr>
            <w:r>
              <w:rPr>
                <w:b/>
              </w:rPr>
              <w:t xml:space="preserve">Требования к результатам работ</w:t>
            </w:r>
            <w:r>
              <w:rPr>
                <w:spacing w:val="-5"/>
                <w:lang w:bidi="ru-RU"/>
              </w:rPr>
            </w:r>
            <w:r>
              <w:rPr>
                <w:spacing w:val="-5"/>
                <w:lang w:bidi="ru-RU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788" w:type="dxa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vMerge w:val="restart"/>
            <w:textDirection w:val="lrTb"/>
            <w:noWrap w:val="false"/>
          </w:tcPr>
          <w:p>
            <w:pPr>
              <w:ind w:left="37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67" w:type="dxa"/>
            <w:vMerge w:val="restart"/>
            <w:textDirection w:val="lrTb"/>
            <w:noWrap w:val="false"/>
          </w:tcPr>
          <w:p>
            <w:pPr>
              <w:ind w:right="-9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составу проектной, рабочей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 проектной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рабочей документации определить при проектировании, согласовать с Заказчиком. Состав должен соответствовать требованиям нормативно технической документации.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Разработку проектной и рабочей документации выполнить в соответствие с ГОСТ Р 21.101-2020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нормативными требованиями, в том числе в соответствие с требованиями Постановления Правительства РФ от 16.02.2008 №87 «О составе разделов проектной документации и требования к их содержанию».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Отчёт с результатами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инженерно-технического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обследования оформить отдельным томом в составе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проектной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документации.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рабочей документации должен быть достаточным для заказа (изготовления) оборудования и проведения строительно-монтажных работ.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составе рабочей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документации необходимо разработать план-график модернизации объекта, учитывающий мероприятия СМР, ПНР и вводу объекта в эксплуатацию.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Разработать общую пояснительную записку в соответствии с требованиями Постановления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Правительства РФ от 16.02.2008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№87.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составе прилагаемых документов к рабочей документации разработать инструкции по эксплуатации устанавливаемого оборудования.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составе прилагаемых документов к рабочей 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окументации разработать сметную документацию.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left="360" w:firstLine="0"/>
              <w:jc w:val="both"/>
            </w:pPr>
            <w:r/>
            <w:r/>
          </w:p>
        </w:tc>
        <w:tc>
          <w:tcPr>
            <w:shd w:val="clear" w:color="ffffff" w:fill="ffffff"/>
            <w:tcW w:w="2126" w:type="dxa"/>
            <w:vAlign w:val="center"/>
            <w:vMerge w:val="restart"/>
            <w:textDirection w:val="lrTb"/>
            <w:noWrap w:val="false"/>
          </w:tcPr>
          <w:p>
            <w:r>
              <w:rPr>
                <w:b w:val="0"/>
                <w:bCs w:val="0"/>
                <w:sz w:val="24"/>
                <w:szCs w:val="24"/>
              </w:rPr>
              <w:t xml:space="preserve">Участник должен предоставить в заявке согласие выполнить работы (оказать услуги),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W w:w="2788" w:type="dxa"/>
            <w:vAlign w:val="center"/>
            <w:vMerge w:val="restart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67" w:type="dxa"/>
            <w:textDirection w:val="lrTb"/>
            <w:noWrap w:val="false"/>
          </w:tcPr>
          <w:p>
            <w:pPr>
              <w:ind w:right="-97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Состав, количество и формат предоставляемой  документации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pStyle w:val="1019"/>
              <w:numPr>
                <w:ilvl w:val="1"/>
                <w:numId w:val="42"/>
              </w:numPr>
              <w:ind w:left="0" w:firstLine="0"/>
              <w:jc w:val="both"/>
            </w:pPr>
            <w:r>
              <w:t xml:space="preserve">Количество передаваемой документации: 4 экземпляра на бумажном носителе, два экземпляра в электронном виде на компакт-диске (CD/DVD и </w:t>
            </w:r>
            <w:r>
              <w:t xml:space="preserve">флеш</w:t>
            </w:r>
            <w:r>
              <w:t xml:space="preserve"> носителе).</w:t>
            </w:r>
            <w:r/>
          </w:p>
          <w:p>
            <w:pPr>
              <w:pStyle w:val="1019"/>
              <w:numPr>
                <w:ilvl w:val="1"/>
                <w:numId w:val="42"/>
              </w:numPr>
              <w:ind w:left="0" w:firstLine="0"/>
              <w:jc w:val="both"/>
            </w:pPr>
            <w:r>
              <w:t xml:space="preserve">Формат передаваемой в электронном виде до</w:t>
            </w:r>
            <w:r>
              <w:t xml:space="preserve">кументации:</w:t>
            </w:r>
            <w:r/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текстовая часть – </w:t>
            </w:r>
            <w:r>
              <w:rPr>
                <w:sz w:val="24"/>
                <w:szCs w:val="24"/>
              </w:rPr>
              <w:t xml:space="preserve">docx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 («ПОС» обязательно и в </w:t>
            </w: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 xml:space="preserve">docx</w:t>
            </w:r>
            <w:r>
              <w:rPr>
                <w:sz w:val="24"/>
                <w:szCs w:val="24"/>
              </w:rPr>
              <w:t xml:space="preserve">) с подписями на титульных листах;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графическая часть – </w:t>
            </w:r>
            <w:r>
              <w:rPr>
                <w:sz w:val="24"/>
                <w:szCs w:val="24"/>
              </w:rPr>
              <w:t xml:space="preserve">dwg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tiff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cdw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таблицы данных – </w:t>
            </w: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docx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xlsx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сметные расчеты – в формате ПК «Гранд-Смета» ‒ </w:t>
            </w:r>
            <w:r>
              <w:rPr>
                <w:sz w:val="24"/>
                <w:szCs w:val="24"/>
              </w:rPr>
              <w:t xml:space="preserve">gsfx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Excel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xlsx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допускается передача документации в указанных форматах с пофайловым разделением страниц.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19"/>
              <w:numPr>
                <w:ilvl w:val="1"/>
                <w:numId w:val="42"/>
              </w:numPr>
              <w:ind w:left="0" w:firstLine="0"/>
              <w:jc w:val="both"/>
            </w:pPr>
            <w:r>
              <w:t xml:space="preserve">Допускается наличие аналогичных программных продуктов, которые должны полностью поддерживать форматы указанного ПО Заказчика, с набором функций, не уступающих указанному ПО и схожим с ним интерфейсом:</w:t>
            </w:r>
            <w:r/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таблицы данных – </w:t>
            </w:r>
            <w:r>
              <w:rPr>
                <w:sz w:val="24"/>
                <w:szCs w:val="24"/>
              </w:rPr>
              <w:t xml:space="preserve">docx</w:t>
            </w:r>
            <w:r>
              <w:rPr>
                <w:sz w:val="24"/>
                <w:szCs w:val="24"/>
              </w:rPr>
              <w:t xml:space="preserve"> (MS </w:t>
            </w:r>
            <w:r>
              <w:rPr>
                <w:sz w:val="24"/>
                <w:szCs w:val="24"/>
              </w:rPr>
              <w:t xml:space="preserve">Word</w:t>
            </w:r>
            <w:r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xlsx</w:t>
            </w:r>
            <w:r>
              <w:rPr>
                <w:sz w:val="24"/>
                <w:szCs w:val="24"/>
              </w:rPr>
              <w:t xml:space="preserve"> (MS </w:t>
            </w:r>
            <w:r>
              <w:rPr>
                <w:sz w:val="24"/>
                <w:szCs w:val="24"/>
              </w:rPr>
              <w:t xml:space="preserve">Excel</w:t>
            </w:r>
            <w:r>
              <w:rPr>
                <w:sz w:val="24"/>
                <w:szCs w:val="24"/>
              </w:rPr>
              <w:t xml:space="preserve">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19"/>
              <w:ind w:left="0"/>
              <w:jc w:val="both"/>
              <w:rPr>
                <w:spacing w:val="-5"/>
                <w:lang w:bidi="ru-RU"/>
              </w:rPr>
            </w:pPr>
            <w:r>
              <w:t xml:space="preserve">- п</w:t>
            </w:r>
            <w:r>
              <w:t xml:space="preserve">резентационные материалы – </w:t>
            </w:r>
            <w:r>
              <w:t xml:space="preserve">pptx</w:t>
            </w:r>
            <w:r>
              <w:t xml:space="preserve"> (MS </w:t>
            </w:r>
            <w:r>
              <w:t xml:space="preserve">PowerPoint</w:t>
            </w:r>
            <w:r>
              <w:t xml:space="preserve">).</w:t>
            </w:r>
            <w:r>
              <w:rPr>
                <w:spacing w:val="-5"/>
                <w:lang w:bidi="ru-RU"/>
              </w:rPr>
            </w:r>
            <w:r>
              <w:rPr>
                <w:spacing w:val="-5"/>
                <w:lang w:bidi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88" w:type="dxa"/>
            <w:vAlign w:val="center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vMerge w:val="restart"/>
            <w:textDirection w:val="lrTb"/>
            <w:noWrap w:val="false"/>
          </w:tcPr>
          <w:p>
            <w:pPr>
              <w:ind w:left="37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67" w:type="dxa"/>
            <w:vMerge w:val="restart"/>
            <w:textDirection w:val="lrTb"/>
            <w:noWrap w:val="false"/>
          </w:tcPr>
          <w:p>
            <w:pPr>
              <w:ind w:right="-9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Особые условия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модернизации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должен быть выполнен с учетом: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- возможности работы котлоагрегатов КА-1, 2, 3 во всем диапазоне нагрузок от 400 т пара/час до 670 т пара/час с поддержанием параметров острого пара и пара промперегрева Т= 545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vertAlign w:val="superscript"/>
              </w:rPr>
              <w:t xml:space="preserve">+5/-10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vertAlign w:val="superscript"/>
              </w:rPr>
              <w:t xml:space="preserve"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 автоматического регулирования и управления расходами рециркулирующ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их газов с целью компенсации колебаний температуры и обеспечения требуемого количества воздуха в топке котла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788" w:type="dxa"/>
            <w:vAlign w:val="center"/>
            <w:vMerge w:val="restart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 - 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1019"/>
              <w:ind w:left="0"/>
              <w:jc w:val="both"/>
              <w:rPr>
                <w:b/>
                <w:spacing w:val="-5"/>
                <w:lang w:bidi="ru-RU"/>
              </w:rPr>
            </w:pPr>
            <w:r>
              <w:rPr>
                <w:b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b/>
                <w:spacing w:val="-5"/>
                <w:lang w:bidi="ru-RU"/>
              </w:rPr>
            </w:r>
            <w:r>
              <w:rPr>
                <w:b/>
                <w:spacing w:val="-5"/>
                <w:lang w:bidi="ru-RU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788" w:type="dxa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>
          <w:trHeight w:val="745"/>
        </w:trPr>
        <w:tc>
          <w:tcPr>
            <w:tcW w:w="1056" w:type="dxa"/>
            <w:vAlign w:val="center"/>
            <w:textDirection w:val="lrTb"/>
            <w:noWrap w:val="false"/>
          </w:tcPr>
          <w:p>
            <w:pPr>
              <w:ind w:left="37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67" w:type="dxa"/>
            <w:vAlign w:val="center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7087" w:type="dxa"/>
            <w:vAlign w:val="center"/>
            <w:textDirection w:val="lrTb"/>
            <w:noWrap w:val="false"/>
          </w:tcPr>
          <w:p>
            <w:pPr>
              <w:pStyle w:val="1019"/>
              <w:numPr>
                <w:ilvl w:val="1"/>
                <w:numId w:val="43"/>
              </w:numPr>
              <w:ind w:left="30" w:firstLine="0"/>
              <w:jc w:val="both"/>
            </w:pPr>
            <w:r>
              <w:t xml:space="preserve">Правила по охране труда при эксплуатации электроустановок (приказ Министерства труда и социальной защиты Российской Федерации от 15.12.2020 №930н).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30" w:firstLine="0"/>
              <w:jc w:val="both"/>
            </w:pPr>
            <w:r>
              <w:t xml:space="preserve">Правила технической эксплуатации электрических станций и сетей Российской Федерации (приказ Министерства энергетики Российской Федерации от 04.10.2022 №1070) (с актуальными изменениями на период проектирования).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t xml:space="preserve">Правила устройства электроустано</w:t>
            </w:r>
            <w:r>
              <w:t xml:space="preserve">вок, седьмое издание (прриказ Министерства энергетики Российской Федерации от 08.07.2002 №204) (с актуальными изменениями на период проектирования).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t xml:space="preserve">Приказ Минэнерго России от 10 июля 2020 года № 546 «Об утверждении требований к релейной защите и автоматике различных видов и ее функционированию в составе энергосистемы и о внесении изменений в приказы Минэнерго России от 8 февраля </w:t>
            </w:r>
            <w:r>
              <w:t xml:space="preserve">2019 г. № 80, от 13 февраля 2019 г. № 100, от 13 февраля 2019 г. № 101» (с актуальными </w:t>
            </w:r>
            <w:r>
              <w:t xml:space="preserve">изменениями на период проектирования).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t xml:space="preserve">Приказ Минэнерго России от 13 июля 2020 года № 555 «Об утверждении Правил технического обслуживания устройств и комплексов релейной защиты и автоматики и внесении изменений в требован</w:t>
            </w:r>
            <w:r>
              <w:t xml:space="preserve">ия к обеспечению надежности электроэнергетических систем, надежности и безопасности объектов электроэнергетики и </w:t>
            </w:r>
            <w:r>
              <w:t xml:space="preserve">энергопринимающих</w:t>
            </w:r>
            <w:r>
              <w:t xml:space="preserve"> установок "Правила организации технического обслуживания и ремонта объектов электроэнергетики", утвержденные приказом Минэнер</w:t>
            </w:r>
            <w:r>
              <w:t xml:space="preserve">го России от 25 октября 2017 г. № 1013» </w:t>
            </w:r>
            <w:r>
              <w:t xml:space="preserve">(с актуальными </w:t>
            </w:r>
            <w:r>
              <w:t xml:space="preserve">изменениями на период проектирования).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t xml:space="preserve">Приказ Минэнерго России от 13 июля 2020 года № 556 «Об утверждении Правил создания (модернизации) комплексов и устройств релейной защиты и автоматики в энергосистеме и о внесении изменений в Правила взаимодействия с</w:t>
            </w:r>
            <w:r>
              <w:t xml:space="preserve">убъектов электроэнергетики, потребителей электрической энергии при подготовке, выдаче и выполнении заданий по настройке устройств релейной защиты и автоматики, утвержденные приказом Минэнерго России от 13 февраля 2019 г. № 100».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t xml:space="preserve">Постановление Правительства</w:t>
            </w:r>
            <w:r>
              <w:t xml:space="preserve"> РФ от 13 августа 2018 года № 937 «Об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Федерации» </w:t>
            </w:r>
            <w:r>
              <w:t xml:space="preserve">(с актуальными </w:t>
            </w:r>
            <w:r>
              <w:t xml:space="preserve">изменениями на период проектирования).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t xml:space="preserve">СП 76.13330.2016. «Свод правил. Электро-технические устройс</w:t>
            </w:r>
            <w:r>
              <w:t xml:space="preserve">тва (Актуализированная редакция СНиП 3.05.06-85)» </w:t>
            </w:r>
            <w:r>
              <w:t xml:space="preserve">(с актуальными </w:t>
            </w:r>
            <w:r>
              <w:t xml:space="preserve">изменениями на период проектирования)</w:t>
            </w:r>
            <w:r>
              <w:t xml:space="preserve">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t xml:space="preserve">И 1.06-08. «Инструкция по монтажу вспомогательных цепей. (ОАО "</w:t>
            </w:r>
            <w:r>
              <w:t xml:space="preserve">Южуралэлектромонтаж</w:t>
            </w:r>
            <w:r>
              <w:t xml:space="preserve">")» </w:t>
            </w:r>
            <w:r>
              <w:t xml:space="preserve">(с актуальными </w:t>
            </w:r>
            <w:r>
              <w:t xml:space="preserve">изменениями на период проектирования).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СТО 56947007-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29.240.044-2010 Стандарт организации ПАО «Россети» Методические указания по обеспечению электромагнитной совместимости на объектах электросетевого хозяйства» (Приказ от 21.04.2010 №265 в ред. от 11.04.2024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(с актуальными изменениями на период проектирования)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t xml:space="preserve">СО 34.35.311-2004. «Методические указания по определению электромагнитных обстановки и совместимости на электрических станциях и подс</w:t>
            </w:r>
            <w:r>
              <w:t xml:space="preserve">танциях»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(с актуальными изменениями на период проектирования)</w:t>
            </w:r>
            <w:r>
              <w:t xml:space="preserve">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t xml:space="preserve">РД 153-34.0-49.101-2003 «Инструкция по проектированию противопожарной защиты энергетических предприятий»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(с актуальными изменениями на период проектирования)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t xml:space="preserve">ГОСТ Р 21.101-2020 «Система проектной документации для строительства. Основные требования к проектной и рабочей документации»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t xml:space="preserve">Постановление</w:t>
            </w:r>
            <w:r>
              <w:t xml:space="preserve"> Правительства РФ от 16.02.2008 № 87 «О составе разделов проектной документации и требованиях к их содержанию»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(с актуальными изменениями на период проектирования)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t xml:space="preserve">Федеральный закон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«О техническом регулировании» № 184 ФЗ (с актуальными изменениями на период проектирования).</w:t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Федеральный закон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от 24 июня 1998 г. № 89-ФЗ «Об отходах производства и потребления» (с изменениями от 29 декабря 2000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г., 10 января 2003 г., 22 августа, 29 декабря 2004 г., 9 мая, 31 декабря 2005 г., 18 декабря 2006 г.)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Федеральный закон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от 10 января 2002 г. № 7-ФЗ «Об охране окружающей среды» (с изменениями 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22 августа, 29 декабря 2004 г., 9 мая, 31 декабря 2005 г., 18 декабря 2006 г., 5 февраля 2007 г.)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51769-2001 «Ресурсосбережение. Обращение с отходами. Документирование и регулирование дея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тельности по обращению с отходами производства и потребления. Основные положения» (принят постановлением Госстандарта РФ от 28 июня 2001 г. N 251-ст)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52108-2003 «Ресурсосбережение. Обращен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ие с отходами. Основные положения» (принят постановлением Госстандарта РФ от 3 июля 2003 г. N 236-ст)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ИСО 14001-2016 «Системы экологического менеджмента. Требования и руководство по примен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ению»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ИСО 14004-2017 «Системы экологического менеджмента. Общие руководящие указания по внедрению»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70281-2022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Охрана 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кружающей среды. Почвы. Классификация химических веществ для контроля загрязнения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»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70280-2022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Охрана окружающей среды. Почвы. Общие требования по контролю и охране от загрязнения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» (с акту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Межгосударственный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стандарт ГОСТ 30772-2001 «Ресурсосбережение. Обращение с отходами. Термины и определения»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ИСО 14050-2023 «Экологиче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ский менеджмент. Словарь»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53692-2023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Национальный стандарт Российской Федерации. Ресурсосбережение. Обращение с отходами. Этапы технологического цикла отходов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» (с актуальными изменениями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Национальный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стандарт РФ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ГОСТ Р 52107-2024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«Ресурсосбережение. Классификация и определение показателей»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Методические рекомендации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по гигиеническому обоснованию ПДК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химических веществ в почве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утвержден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br/>
              <w:t xml:space="preserve">Заместителем Главного государственного санитарного врача СССР 5 августа 1982 г. N 2609-82)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СаНПиН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2.1.7.1287-03 «Санитарно-эпидемиологические требования к качеству почвы».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Методические указания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по оценк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е степени опасности загрязнения почвы химическими веществами. Минздрав СССР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Утверждено заместителем Главного государственного санитарного врача СССР от 13 марта 1987 г. № 4266-87)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Временные правила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охраны окружающей среды от отходов производства и потребления в Российской Федерации. Минприроды России. М., 1994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СП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2.1.7.1038-01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«Гигиенические требования к устройству и содержанию полигоно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в для твердых бытовых отходов»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Предельно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допустимые концентрации (ПДК) загрязняющих веществ в атмосферном воздухе населенных мест.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ГН 2.1.6.1338-03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 Минздрав России. М., 2003(с актуальными измене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Перечень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предельно допустимых концентраций (ПДК) и ориентировочно допустимых количеств (ОДК)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химических веществ в почве. Государственный комитет санитарно- эпидемиологического надзора Российской Федерации, М., 1993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 58475-2019. Национальный стандарт Российской Федерации. Паспорт безопасности химической продукции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0108-94. Материалы и изделия строительные. Определение удельной эффективной активности естественных радионуклидов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25818-2017 «Золы-уноса тепловых электростанций для бетонов. Технически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е условия».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25592-2019 «Смеси золошлаковые тепловых электростанций для бетонов. Технические условия»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25100-2020 «Грунты. Классификация»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33063-2014 «Дороги автомобильные общего пользования. Классификация типов местности и грунтов»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 70452-2022 «Дороги автомоби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льные общего пользования. Грунты стабилизированные и укрепленные неорганическими вяжущими. Общие технические условия»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ГОСТ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 59120-2021 «Дороги автомобильные общего пользования. Дорожная одежда.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Общие требования»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ОДМ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218.2.031-2013 «Методические рекомендации по применению золы-уноса и золошлаковых смесей от сжигания угля на тепловых электростанциях в дорожном строительстве» (с актуальным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ВСН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2-94. Инструкция и технология строительства дорог в районах массового жилищного строительства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pStyle w:val="1019"/>
              <w:numPr>
                <w:ilvl w:val="1"/>
                <w:numId w:val="43"/>
              </w:numPr>
              <w:ind w:left="0" w:firstLine="0"/>
              <w:jc w:val="both"/>
            </w:pPr>
            <w:r>
              <w:rPr>
                <w:highlight w:val="none"/>
              </w:rPr>
              <w:t xml:space="preserve">Радиационно-гигиенический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контроль промышленных 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тходов, используемых для производства стройматериалов. Методические рекомендации. Мингеологии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СССР, Л., 1987 (с актуальными изменениями на период проектирования).</w:t>
            </w:r>
            <w:r>
              <w:rPr>
                <w:highlight w:val="none"/>
              </w:rPr>
            </w:r>
            <w:r/>
          </w:p>
          <w:p>
            <w:pPr>
              <w:ind w:firstLine="3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и не указанных в данном перечнем.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Участник должен предоставить в заявке согласие выполнить работы (оказать услуги),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788" w:type="dxa"/>
            <w:vAlign w:val="center"/>
            <w:textDirection w:val="lrTb"/>
            <w:noWrap w:val="false"/>
          </w:tcPr>
          <w:p>
            <w:pPr>
              <w:pStyle w:val="1044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  <w:t xml:space="preserve">-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</w:tbl>
    <w:p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jc w:val="center"/>
        <w:rPr>
          <w:b/>
          <w:i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806"/>
        <w:ind w:left="357" w:hanging="357"/>
        <w:jc w:val="center"/>
        <w:keepLines/>
      </w:pPr>
      <w:r/>
      <w:bookmarkStart w:id="29" w:name="_Toc53393312"/>
      <w:r/>
      <w:bookmarkStart w:id="30" w:name="_Toc54646411"/>
      <w:r/>
      <w:bookmarkStart w:id="31" w:name="_Toc46743519"/>
      <w:r/>
      <w:bookmarkStart w:id="32" w:name="_Toc51339699"/>
      <w:r>
        <w:t xml:space="preserve">Требования к документации по ценообразованию</w:t>
      </w:r>
      <w:bookmarkEnd w:id="29"/>
      <w:r>
        <w:t xml:space="preserve"> на этапе закупки</w:t>
      </w:r>
      <w:bookmarkEnd w:id="30"/>
      <w:r/>
      <w:r/>
    </w:p>
    <w:p>
      <w:pPr>
        <w:pStyle w:val="809"/>
        <w:numPr>
          <w:ilvl w:val="0"/>
          <w:numId w:val="0"/>
        </w:numPr>
        <w:ind w:left="708"/>
        <w:jc w:val="both"/>
        <w:rPr>
          <w:b w:val="0"/>
          <w:highlight w:val="white"/>
        </w:rPr>
      </w:pPr>
      <w:r/>
      <w:bookmarkStart w:id="33" w:name="_Toc127261028"/>
      <w:r/>
      <w:bookmarkStart w:id="34" w:name="_Toc127264349"/>
      <w:r/>
      <w:bookmarkStart w:id="35" w:name="_Toc127364999"/>
      <w:r/>
      <w:bookmarkStart w:id="36" w:name="_Toc129956752"/>
      <w:r/>
      <w:bookmarkStart w:id="37" w:name="_Toc54646412"/>
      <w:r>
        <w:rPr>
          <w:b w:val="0"/>
          <w:highlight w:val="white"/>
        </w:rPr>
        <w:t xml:space="preserve">3.1.</w:t>
      </w:r>
      <w:bookmarkEnd w:id="33"/>
      <w:r>
        <w:rPr>
          <w:b w:val="0"/>
          <w:highlight w:val="white"/>
        </w:rPr>
        <w:t xml:space="preserve">  </w:t>
      </w:r>
      <w:bookmarkStart w:id="38" w:name="_Toc127261029"/>
      <w:r>
        <w:rPr>
          <w:b w:val="0"/>
          <w:highlight w:val="white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  <w:bookmarkEnd w:id="34"/>
      <w:r/>
      <w:bookmarkEnd w:id="35"/>
      <w:r/>
      <w:bookmarkEnd w:id="36"/>
      <w:r/>
      <w:bookmarkEnd w:id="38"/>
      <w:r>
        <w:rPr>
          <w:b w:val="0"/>
          <w:highlight w:val="white"/>
        </w:rPr>
      </w:r>
      <w:r>
        <w:rPr>
          <w:b w:val="0"/>
          <w:highlight w:val="white"/>
        </w:rPr>
      </w:r>
    </w:p>
    <w:p>
      <w:pPr>
        <w:pStyle w:val="809"/>
        <w:numPr>
          <w:ilvl w:val="0"/>
          <w:numId w:val="0"/>
        </w:numPr>
        <w:ind w:left="708"/>
        <w:jc w:val="both"/>
        <w:rPr>
          <w:b w:val="0"/>
          <w:highlight w:val="white"/>
        </w:rPr>
      </w:pPr>
      <w:r/>
      <w:bookmarkStart w:id="39" w:name="_Toc127261030"/>
      <w:r/>
      <w:bookmarkStart w:id="40" w:name="_Toc127264350"/>
      <w:r/>
      <w:bookmarkStart w:id="41" w:name="_Toc127365000"/>
      <w:r/>
      <w:bookmarkStart w:id="42" w:name="_Toc129956753"/>
      <w:r>
        <w:rPr>
          <w:b w:val="0"/>
          <w:highlight w:val="white"/>
        </w:rPr>
        <w:t xml:space="preserve">3.2. Дополнительные документы по ценообразованию (сметная документаци</w:t>
      </w:r>
      <w:r>
        <w:rPr>
          <w:b w:val="0"/>
          <w:highlight w:val="white"/>
        </w:rPr>
        <w:t xml:space="preserve">я) в состав заявки Участника не включаются.</w:t>
      </w:r>
      <w:bookmarkEnd w:id="39"/>
      <w:r/>
      <w:bookmarkEnd w:id="40"/>
      <w:r/>
      <w:bookmarkEnd w:id="41"/>
      <w:r/>
      <w:bookmarkEnd w:id="42"/>
      <w:r>
        <w:rPr>
          <w:b w:val="0"/>
          <w:highlight w:val="white"/>
        </w:rPr>
      </w:r>
      <w:r>
        <w:rPr>
          <w:b w:val="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06"/>
        <w:ind w:left="357" w:hanging="357"/>
        <w:jc w:val="center"/>
        <w:keepLines/>
        <w:rPr>
          <w:highlight w:val="white"/>
        </w:rPr>
      </w:pPr>
      <w:r>
        <w:t xml:space="preserve">Требования к документации по ценообразованию на этапе заключения (исполнения) договора</w:t>
      </w:r>
      <w:bookmarkEnd w:id="37"/>
      <w:r>
        <w:rPr>
          <w:highlight w:val="white"/>
        </w:rPr>
      </w:r>
      <w:r>
        <w:rPr>
          <w:highlight w:val="white"/>
        </w:rPr>
      </w:r>
    </w:p>
    <w:p>
      <w:r/>
      <w:r/>
    </w:p>
    <w:p>
      <w:pPr>
        <w:pStyle w:val="1019"/>
        <w:numPr>
          <w:ilvl w:val="0"/>
          <w:numId w:val="22"/>
        </w:numPr>
        <w:jc w:val="both"/>
      </w:pPr>
      <w:r/>
      <w:bookmarkStart w:id="43" w:name="_Ref40301253"/>
      <w:r/>
      <w:bookmarkEnd w:id="31"/>
      <w:r/>
      <w:bookmarkEnd w:id="32"/>
      <w:r>
        <w:t xml:space="preserve">В рамках реализации договора необходимо составить и оформить сметную документацию в обоснование стоимости работ на проектно</w:t>
      </w:r>
      <w:r>
        <w:t xml:space="preserve">-изыскательские работы в соответствии с требованиями, указанными в приложении № 1 к настоящим Техническим требованиям.</w:t>
      </w:r>
      <w:bookmarkEnd w:id="43"/>
      <w:r/>
      <w:r/>
    </w:p>
    <w:p>
      <w:pPr>
        <w:pStyle w:val="1019"/>
        <w:numPr>
          <w:ilvl w:val="0"/>
          <w:numId w:val="22"/>
        </w:numPr>
        <w:jc w:val="both"/>
      </w:pPr>
      <w:r>
        <w:t xml:space="preserve">В случае, если стоимость по разработанной смете Подрядчика будет превышать предельную стоимость, указанную в Договоре, в ходе исполнения </w:t>
      </w:r>
      <w:r>
        <w:t xml:space="preserve">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  <w:r/>
    </w:p>
    <w:p>
      <w:pPr>
        <w:pStyle w:val="1019"/>
        <w:numPr>
          <w:ilvl w:val="0"/>
          <w:numId w:val="22"/>
        </w:numPr>
        <w:jc w:val="both"/>
      </w:pPr>
      <w:r>
        <w:t xml:space="preserve">В случае, если стоимость по разработанной смете Подрядчика будет ниже стоимости, указанной в Договоре, взаи</w:t>
      </w:r>
      <w:r>
        <w:t xml:space="preserve">морасчеты будут осуществляться по данной смете без увеличения стоимости, указанной в Договоре.</w:t>
      </w:r>
      <w:r/>
    </w:p>
    <w:p>
      <w:pPr>
        <w:jc w:val="right"/>
        <w:spacing w:after="120"/>
        <w:rPr>
          <w:bCs/>
          <w:i/>
          <w:iCs/>
          <w:sz w:val="24"/>
          <w:szCs w:val="24"/>
          <w:shd w:val="clear" w:color="auto" w:fill="ffff99"/>
        </w:rPr>
      </w:pP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p>
      <w:pPr>
        <w:pStyle w:val="806"/>
        <w:rPr>
          <w:caps/>
          <w:highlight w:val="white"/>
        </w:rPr>
      </w:pPr>
      <w:r/>
      <w:bookmarkStart w:id="44" w:name="_Toc129956760"/>
      <w:r>
        <w:rPr>
          <w:highlight w:val="white"/>
        </w:rPr>
        <w:t xml:space="preserve">Приложения</w:t>
      </w:r>
      <w:bookmarkEnd w:id="44"/>
      <w:r>
        <w:rPr>
          <w:caps/>
          <w:highlight w:val="white"/>
        </w:rPr>
      </w:r>
      <w:r>
        <w:rPr>
          <w:caps/>
          <w:highlight w:val="white"/>
        </w:rPr>
      </w:r>
    </w:p>
    <w:p>
      <w:pPr>
        <w:ind w:left="360"/>
        <w:jc w:val="both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 Требования к оформлению и составлению документации на выполнение проектных и изыскательских работ;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360"/>
        <w:jc w:val="both"/>
        <w:rPr>
          <w:bCs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Приложение № 2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Положение о допуске персонала строительно-монтажных организаций и командированного персонала к выполнению работ на объектах АО «ДГК»;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360"/>
      </w:pPr>
      <w:r>
        <w:rPr>
          <w:bCs/>
          <w:sz w:val="24"/>
        </w:rPr>
        <w:t xml:space="preserve">Приложение № 3 </w:t>
      </w:r>
      <w:r>
        <w:rPr>
          <w:bCs/>
          <w:sz w:val="24"/>
          <w:szCs w:val="24"/>
          <w:highlight w:val="white"/>
        </w:rPr>
        <w:t xml:space="preserve">Инструкция по организации пропускного и </w:t>
      </w:r>
      <w:r>
        <w:rPr>
          <w:bCs/>
          <w:sz w:val="24"/>
          <w:szCs w:val="24"/>
          <w:highlight w:val="white"/>
        </w:rPr>
        <w:t xml:space="preserve">внутриобъектового</w:t>
      </w:r>
      <w:r>
        <w:rPr>
          <w:bCs/>
          <w:sz w:val="24"/>
          <w:szCs w:val="24"/>
          <w:highlight w:val="white"/>
        </w:rPr>
        <w:t xml:space="preserve"> режимов на Хабаровской ТЭЦ-3</w:t>
      </w:r>
      <w:r>
        <w:rPr>
          <w:bCs/>
          <w:sz w:val="24"/>
          <w:szCs w:val="24"/>
        </w:rPr>
        <w:t xml:space="preserve">.</w:t>
      </w:r>
      <w:r/>
    </w:p>
    <w:p>
      <w:pPr>
        <w:ind w:left="360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spacing w:after="120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spacing w:after="12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12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spacing w:after="12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Тулаганова Юлия Олеговна" w:date="2024-02-21T17:46:00Z" w:initials="ТЮО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Исключить дублирование требований (см. первый абзац в данном пункте)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226C7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10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4"/>
      <w:rPr>
        <w:rStyle w:val="986"/>
      </w:rPr>
      <w:framePr w:wrap="around" w:vAnchor="text" w:hAnchor="margin" w:xAlign="center" w:y="1"/>
    </w:pPr>
    <w:r>
      <w:rPr>
        <w:rStyle w:val="986"/>
      </w:rPr>
      <w:fldChar w:fldCharType="begin"/>
    </w:r>
    <w:r>
      <w:rPr>
        <w:rStyle w:val="986"/>
      </w:rPr>
      <w:instrText xml:space="preserve">PAGE  </w:instrText>
    </w:r>
    <w:r>
      <w:rPr>
        <w:rStyle w:val="986"/>
      </w:rPr>
      <w:fldChar w:fldCharType="separate"/>
    </w:r>
    <w:r>
      <w:rPr>
        <w:rStyle w:val="986"/>
      </w:rPr>
      <w:t xml:space="preserve">6</w:t>
    </w:r>
    <w:r>
      <w:rPr>
        <w:rStyle w:val="986"/>
      </w:rPr>
      <w:fldChar w:fldCharType="end"/>
    </w:r>
    <w:r>
      <w:rPr>
        <w:rStyle w:val="986"/>
      </w:rPr>
    </w:r>
    <w:r>
      <w:rPr>
        <w:rStyle w:val="986"/>
      </w:rPr>
    </w:r>
  </w:p>
  <w:p>
    <w:pPr>
      <w:pStyle w:val="97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4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4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1.4.%1."/>
      <w:lvlJc w:val="center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6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8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0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2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4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6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8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05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4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6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8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0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2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4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6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8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05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1.8.%22."/>
      <w:lvlJc w:val="center"/>
      <w:pPr>
        <w:ind w:left="821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4.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2)"/>
      <w:lvlJc w:val="left"/>
      <w:pPr>
        <w:ind w:left="1785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pStyle w:val="1065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3.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2)"/>
      <w:lvlJc w:val="left"/>
      <w:pPr>
        <w:ind w:left="1785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4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40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1.8.%1."/>
      <w:lvlJc w:val="center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821" w:hanging="432"/>
      </w:pPr>
      <w:rPr>
        <w:b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.9.%1.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96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67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5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9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1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5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7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15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4"/>
      <w:numFmt w:val="bullet"/>
      <w:pStyle w:val="1034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35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33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 w:cs="Symbol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styleLink w:val="1043"/>
    <w:lvl w:ilvl="0">
      <w:start w:val="3"/>
      <w:numFmt w:val="decimal"/>
      <w:pStyle w:val="1043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pStyle w:val="806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09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pStyle w:val="808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53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54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57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55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56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821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ascii="Symbol" w:hAnsi="Symbol" w:cs="Symbol"/>
        <w:color w:val="00000a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40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1.8.%1.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1.8.%1.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styleLink w:val="1047"/>
    <w:lvl w:ilvl="0">
      <w:start w:val="1"/>
      <w:numFmt w:val="decimal"/>
      <w:pStyle w:val="1047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40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40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40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40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40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3409" w:hanging="432"/>
      </w:pPr>
      <w:rPr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40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40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40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40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21"/>
  </w:num>
  <w:num w:numId="2">
    <w:abstractNumId w:val="24"/>
  </w:num>
  <w:num w:numId="3">
    <w:abstractNumId w:val="30"/>
  </w:num>
  <w:num w:numId="4">
    <w:abstractNumId w:val="16"/>
  </w:num>
  <w:num w:numId="5">
    <w:abstractNumId w:val="39"/>
  </w:num>
  <w:num w:numId="6">
    <w:abstractNumId w:val="32"/>
  </w:num>
  <w:num w:numId="7">
    <w:abstractNumId w:val="10"/>
  </w:num>
  <w:num w:numId="8">
    <w:abstractNumId w:val="33"/>
  </w:num>
  <w:num w:numId="9">
    <w:abstractNumId w:val="7"/>
  </w:num>
  <w:num w:numId="10">
    <w:abstractNumId w:val="23"/>
  </w:num>
  <w:num w:numId="11">
    <w:abstractNumId w:val="9"/>
  </w:num>
  <w:num w:numId="12">
    <w:abstractNumId w:val="26"/>
  </w:num>
  <w:num w:numId="13">
    <w:abstractNumId w:val="29"/>
  </w:num>
  <w:num w:numId="14">
    <w:abstractNumId w:val="28"/>
  </w:num>
  <w:num w:numId="15">
    <w:abstractNumId w:val="1"/>
  </w:num>
  <w:num w:numId="16">
    <w:abstractNumId w:val="5"/>
  </w:num>
  <w:num w:numId="17">
    <w:abstractNumId w:val="37"/>
  </w:num>
  <w:num w:numId="18">
    <w:abstractNumId w:val="38"/>
  </w:num>
  <w:num w:numId="19">
    <w:abstractNumId w:val="20"/>
  </w:num>
  <w:num w:numId="20">
    <w:abstractNumId w:val="15"/>
  </w:num>
  <w:num w:numId="21">
    <w:abstractNumId w:val="11"/>
  </w:num>
  <w:num w:numId="22">
    <w:abstractNumId w:val="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17"/>
  </w:num>
  <w:num w:numId="26">
    <w:abstractNumId w:val="31"/>
  </w:num>
  <w:num w:numId="27">
    <w:abstractNumId w:val="2"/>
  </w:num>
  <w:num w:numId="28">
    <w:abstractNumId w:val="34"/>
  </w:num>
  <w:num w:numId="29">
    <w:abstractNumId w:val="12"/>
  </w:num>
  <w:num w:numId="30">
    <w:abstractNumId w:val="0"/>
  </w:num>
  <w:num w:numId="31">
    <w:abstractNumId w:val="27"/>
  </w:num>
  <w:num w:numId="32">
    <w:abstractNumId w:val="18"/>
  </w:num>
  <w:num w:numId="33">
    <w:abstractNumId w:val="19"/>
  </w:num>
  <w:num w:numId="34">
    <w:abstractNumId w:val="8"/>
  </w:num>
  <w:num w:numId="35">
    <w:abstractNumId w:val="41"/>
  </w:num>
  <w:num w:numId="36">
    <w:abstractNumId w:val="40"/>
  </w:num>
  <w:num w:numId="37">
    <w:abstractNumId w:val="14"/>
  </w:num>
  <w:num w:numId="38">
    <w:abstractNumId w:val="35"/>
  </w:num>
  <w:num w:numId="39">
    <w:abstractNumId w:val="22"/>
  </w:num>
  <w:num w:numId="40">
    <w:abstractNumId w:val="4"/>
  </w:num>
  <w:num w:numId="41">
    <w:abstractNumId w:val="3"/>
  </w:num>
  <w:num w:numId="42">
    <w:abstractNumId w:val="36"/>
  </w:num>
  <w:num w:numId="43">
    <w:abstractNumId w:val="13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лаганова Юлия Олеговна">
    <w15:presenceInfo w15:providerId="None" w15:userId="Тулаганова Юлия Олег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5" w:default="1">
    <w:name w:val="Normal"/>
    <w:qFormat/>
    <w:rPr>
      <w:sz w:val="28"/>
      <w:szCs w:val="28"/>
    </w:rPr>
  </w:style>
  <w:style w:type="paragraph" w:styleId="806">
    <w:name w:val="Heading 1"/>
    <w:basedOn w:val="808"/>
    <w:next w:val="805"/>
    <w:link w:val="1006"/>
    <w:qFormat/>
    <w:pPr>
      <w:numPr>
        <w:ilvl w:val="0"/>
      </w:numPr>
      <w:outlineLvl w:val="0"/>
    </w:pPr>
    <w:rPr>
      <w:sz w:val="28"/>
      <w:szCs w:val="28"/>
    </w:rPr>
  </w:style>
  <w:style w:type="paragraph" w:styleId="807">
    <w:name w:val="Heading 2"/>
    <w:basedOn w:val="809"/>
    <w:next w:val="805"/>
    <w:link w:val="1008"/>
    <w:qFormat/>
    <w:pPr>
      <w:outlineLvl w:val="1"/>
    </w:pPr>
  </w:style>
  <w:style w:type="paragraph" w:styleId="808">
    <w:name w:val="Heading 3"/>
    <w:basedOn w:val="805"/>
    <w:next w:val="805"/>
    <w:link w:val="1009"/>
    <w:qFormat/>
    <w:pPr>
      <w:numPr>
        <w:ilvl w:val="2"/>
        <w:numId w:val="26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09">
    <w:name w:val="Heading 4"/>
    <w:basedOn w:val="808"/>
    <w:next w:val="805"/>
    <w:link w:val="1010"/>
    <w:qFormat/>
    <w:pPr>
      <w:numPr>
        <w:ilvl w:val="1"/>
      </w:numPr>
      <w:outlineLvl w:val="3"/>
    </w:pPr>
    <w:rPr>
      <w:bCs/>
    </w:rPr>
  </w:style>
  <w:style w:type="paragraph" w:styleId="810">
    <w:name w:val="Heading 5"/>
    <w:basedOn w:val="805"/>
    <w:next w:val="805"/>
    <w:link w:val="1011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11">
    <w:name w:val="Heading 6"/>
    <w:basedOn w:val="805"/>
    <w:next w:val="805"/>
    <w:link w:val="1003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12">
    <w:name w:val="Heading 7"/>
    <w:basedOn w:val="805"/>
    <w:next w:val="805"/>
    <w:link w:val="1004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13">
    <w:name w:val="Heading 8"/>
    <w:basedOn w:val="805"/>
    <w:next w:val="805"/>
    <w:link w:val="1005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14">
    <w:name w:val="Heading 9"/>
    <w:basedOn w:val="805"/>
    <w:next w:val="805"/>
    <w:link w:val="1012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15" w:default="1">
    <w:name w:val="Default Paragraph Font"/>
    <w:uiPriority w:val="1"/>
    <w:semiHidden/>
    <w:unhideWhenUsed/>
  </w:style>
  <w:style w:type="table" w:styleId="8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7" w:default="1">
    <w:name w:val="No List"/>
    <w:uiPriority w:val="99"/>
    <w:semiHidden/>
    <w:unhideWhenUsed/>
  </w:style>
  <w:style w:type="character" w:styleId="818" w:customStyle="1">
    <w:name w:val="Title Char"/>
    <w:basedOn w:val="815"/>
    <w:uiPriority w:val="10"/>
    <w:rPr>
      <w:sz w:val="48"/>
      <w:szCs w:val="48"/>
    </w:rPr>
  </w:style>
  <w:style w:type="character" w:styleId="819" w:customStyle="1">
    <w:name w:val="Caption Char"/>
    <w:uiPriority w:val="99"/>
  </w:style>
  <w:style w:type="character" w:styleId="820" w:customStyle="1">
    <w:name w:val="Heading 1 Char"/>
    <w:basedOn w:val="815"/>
    <w:uiPriority w:val="9"/>
    <w:rPr>
      <w:rFonts w:ascii="Arial" w:hAnsi="Arial" w:eastAsia="Arial" w:cs="Arial"/>
      <w:sz w:val="40"/>
      <w:szCs w:val="40"/>
    </w:rPr>
  </w:style>
  <w:style w:type="character" w:styleId="821" w:customStyle="1">
    <w:name w:val="Heading 2 Char"/>
    <w:basedOn w:val="815"/>
    <w:uiPriority w:val="9"/>
    <w:rPr>
      <w:rFonts w:ascii="Arial" w:hAnsi="Arial" w:eastAsia="Arial" w:cs="Arial"/>
      <w:sz w:val="34"/>
    </w:rPr>
  </w:style>
  <w:style w:type="character" w:styleId="822" w:customStyle="1">
    <w:name w:val="Heading 3 Char"/>
    <w:basedOn w:val="815"/>
    <w:uiPriority w:val="9"/>
    <w:rPr>
      <w:rFonts w:ascii="Arial" w:hAnsi="Arial" w:eastAsia="Arial" w:cs="Arial"/>
      <w:sz w:val="30"/>
      <w:szCs w:val="30"/>
    </w:rPr>
  </w:style>
  <w:style w:type="character" w:styleId="823" w:customStyle="1">
    <w:name w:val="Heading 4 Char"/>
    <w:basedOn w:val="815"/>
    <w:uiPriority w:val="9"/>
    <w:rPr>
      <w:rFonts w:ascii="Arial" w:hAnsi="Arial" w:eastAsia="Arial" w:cs="Arial"/>
      <w:b/>
      <w:bCs/>
      <w:sz w:val="26"/>
      <w:szCs w:val="26"/>
    </w:rPr>
  </w:style>
  <w:style w:type="character" w:styleId="824" w:customStyle="1">
    <w:name w:val="Heading 5 Char"/>
    <w:basedOn w:val="815"/>
    <w:uiPriority w:val="9"/>
    <w:rPr>
      <w:rFonts w:ascii="Arial" w:hAnsi="Arial" w:eastAsia="Arial" w:cs="Arial"/>
      <w:b/>
      <w:bCs/>
      <w:sz w:val="24"/>
      <w:szCs w:val="24"/>
    </w:rPr>
  </w:style>
  <w:style w:type="character" w:styleId="825" w:customStyle="1">
    <w:name w:val="Heading 6 Char"/>
    <w:basedOn w:val="815"/>
    <w:uiPriority w:val="9"/>
    <w:rPr>
      <w:rFonts w:ascii="Arial" w:hAnsi="Arial" w:eastAsia="Arial" w:cs="Arial"/>
      <w:b/>
      <w:bCs/>
      <w:sz w:val="22"/>
      <w:szCs w:val="22"/>
    </w:rPr>
  </w:style>
  <w:style w:type="character" w:styleId="826" w:customStyle="1">
    <w:name w:val="Heading 7 Char"/>
    <w:basedOn w:val="8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7" w:customStyle="1">
    <w:name w:val="Heading 8 Char"/>
    <w:basedOn w:val="815"/>
    <w:uiPriority w:val="9"/>
    <w:rPr>
      <w:rFonts w:ascii="Arial" w:hAnsi="Arial" w:eastAsia="Arial" w:cs="Arial"/>
      <w:i/>
      <w:iCs/>
      <w:sz w:val="22"/>
      <w:szCs w:val="22"/>
    </w:rPr>
  </w:style>
  <w:style w:type="character" w:styleId="828" w:customStyle="1">
    <w:name w:val="Heading 9 Char"/>
    <w:basedOn w:val="815"/>
    <w:uiPriority w:val="9"/>
    <w:rPr>
      <w:rFonts w:ascii="Arial" w:hAnsi="Arial" w:eastAsia="Arial" w:cs="Arial"/>
      <w:i/>
      <w:iCs/>
      <w:sz w:val="21"/>
      <w:szCs w:val="21"/>
    </w:rPr>
  </w:style>
  <w:style w:type="paragraph" w:styleId="829">
    <w:name w:val="Title"/>
    <w:basedOn w:val="805"/>
    <w:next w:val="805"/>
    <w:link w:val="83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0" w:customStyle="1">
    <w:name w:val="Заголовок Знак"/>
    <w:basedOn w:val="815"/>
    <w:link w:val="829"/>
    <w:uiPriority w:val="10"/>
    <w:rPr>
      <w:sz w:val="48"/>
      <w:szCs w:val="48"/>
    </w:rPr>
  </w:style>
  <w:style w:type="character" w:styleId="831" w:customStyle="1">
    <w:name w:val="Subtitle Char"/>
    <w:basedOn w:val="815"/>
    <w:uiPriority w:val="11"/>
    <w:rPr>
      <w:sz w:val="24"/>
      <w:szCs w:val="24"/>
    </w:rPr>
  </w:style>
  <w:style w:type="character" w:styleId="832" w:customStyle="1">
    <w:name w:val="Quote Char"/>
    <w:uiPriority w:val="29"/>
    <w:rPr>
      <w:i/>
    </w:rPr>
  </w:style>
  <w:style w:type="character" w:styleId="833" w:customStyle="1">
    <w:name w:val="Intense Quote Char"/>
    <w:uiPriority w:val="30"/>
    <w:rPr>
      <w:i/>
    </w:rPr>
  </w:style>
  <w:style w:type="character" w:styleId="834" w:customStyle="1">
    <w:name w:val="Header Char"/>
    <w:basedOn w:val="815"/>
    <w:uiPriority w:val="99"/>
  </w:style>
  <w:style w:type="character" w:styleId="835" w:customStyle="1">
    <w:name w:val="Footer Char"/>
    <w:basedOn w:val="815"/>
    <w:uiPriority w:val="99"/>
  </w:style>
  <w:style w:type="character" w:styleId="836" w:customStyle="1">
    <w:name w:val="Нижний колонтитул Знак"/>
    <w:link w:val="977"/>
    <w:uiPriority w:val="99"/>
  </w:style>
  <w:style w:type="table" w:styleId="837" w:customStyle="1">
    <w:name w:val="Table Grid Light"/>
    <w:basedOn w:val="81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8">
    <w:name w:val="Plain Table 1"/>
    <w:basedOn w:val="81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9">
    <w:name w:val="Plain Table 2"/>
    <w:basedOn w:val="81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0">
    <w:name w:val="Plain Table 3"/>
    <w:basedOn w:val="8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1">
    <w:name w:val="Plain Table 4"/>
    <w:basedOn w:val="8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Plain Table 5"/>
    <w:basedOn w:val="8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3">
    <w:name w:val="Grid Table 1 Light"/>
    <w:basedOn w:val="81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1"/>
    <w:basedOn w:val="816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2"/>
    <w:basedOn w:val="816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3"/>
    <w:basedOn w:val="816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4"/>
    <w:basedOn w:val="816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5"/>
    <w:basedOn w:val="816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Grid Table 1 Light - Accent 6"/>
    <w:basedOn w:val="816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Grid Table 2"/>
    <w:basedOn w:val="81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1"/>
    <w:basedOn w:val="816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2"/>
    <w:basedOn w:val="816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3"/>
    <w:basedOn w:val="816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4"/>
    <w:basedOn w:val="816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2 - Accent 5"/>
    <w:basedOn w:val="816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2 - Accent 6"/>
    <w:basedOn w:val="816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"/>
    <w:basedOn w:val="81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1"/>
    <w:basedOn w:val="816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2"/>
    <w:basedOn w:val="816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3"/>
    <w:basedOn w:val="816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4"/>
    <w:basedOn w:val="816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3 - Accent 5"/>
    <w:basedOn w:val="816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3 - Accent 6"/>
    <w:basedOn w:val="816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4"/>
    <w:basedOn w:val="81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5" w:customStyle="1">
    <w:name w:val="Grid Table 4 - Accent 1"/>
    <w:basedOn w:val="816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66" w:customStyle="1">
    <w:name w:val="Grid Table 4 - Accent 2"/>
    <w:basedOn w:val="816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67" w:customStyle="1">
    <w:name w:val="Grid Table 4 - Accent 3"/>
    <w:basedOn w:val="816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68" w:customStyle="1">
    <w:name w:val="Grid Table 4 - Accent 4"/>
    <w:basedOn w:val="816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69" w:customStyle="1">
    <w:name w:val="Grid Table 4 - Accent 5"/>
    <w:basedOn w:val="816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70" w:customStyle="1">
    <w:name w:val="Grid Table 4 - Accent 6"/>
    <w:basedOn w:val="816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71">
    <w:name w:val="Grid Table 5 Dark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- Accent 1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 - Accent 2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 - Accent 3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- Accent 4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76" w:customStyle="1">
    <w:name w:val="Grid Table 5 Dark - Accent 5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77" w:customStyle="1">
    <w:name w:val="Grid Table 5 Dark - Accent 6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78">
    <w:name w:val="Grid Table 6 Colorful"/>
    <w:basedOn w:val="81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9" w:customStyle="1">
    <w:name w:val="Grid Table 6 Colorful - Accent 1"/>
    <w:basedOn w:val="816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80" w:customStyle="1">
    <w:name w:val="Grid Table 6 Colorful - Accent 2"/>
    <w:basedOn w:val="816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81" w:customStyle="1">
    <w:name w:val="Grid Table 6 Colorful - Accent 3"/>
    <w:basedOn w:val="816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2" w:customStyle="1">
    <w:name w:val="Grid Table 6 Colorful - Accent 4"/>
    <w:basedOn w:val="816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3" w:customStyle="1">
    <w:name w:val="Grid Table 6 Colorful - Accent 5"/>
    <w:basedOn w:val="816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84" w:customStyle="1">
    <w:name w:val="Grid Table 6 Colorful - Accent 6"/>
    <w:basedOn w:val="816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85">
    <w:name w:val="Grid Table 7 Colorful"/>
    <w:basedOn w:val="81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7 Colorful - Accent 1"/>
    <w:basedOn w:val="816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7 Colorful - Accent 2"/>
    <w:basedOn w:val="816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7 Colorful - Accent 3"/>
    <w:basedOn w:val="816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7 Colorful - Accent 4"/>
    <w:basedOn w:val="816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7 Colorful - Accent 5"/>
    <w:basedOn w:val="816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7 Colorful - Accent 6"/>
    <w:basedOn w:val="816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"/>
    <w:basedOn w:val="81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1"/>
    <w:basedOn w:val="816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2"/>
    <w:basedOn w:val="816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3"/>
    <w:basedOn w:val="816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4"/>
    <w:basedOn w:val="816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5"/>
    <w:basedOn w:val="816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1 Light - Accent 6"/>
    <w:basedOn w:val="816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2"/>
    <w:basedOn w:val="81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1"/>
    <w:basedOn w:val="816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2"/>
    <w:basedOn w:val="816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3"/>
    <w:basedOn w:val="816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4"/>
    <w:basedOn w:val="816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4" w:customStyle="1">
    <w:name w:val="List Table 2 - Accent 5"/>
    <w:basedOn w:val="816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05" w:customStyle="1">
    <w:name w:val="List Table 2 - Accent 6"/>
    <w:basedOn w:val="816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06">
    <w:name w:val="List Table 3"/>
    <w:basedOn w:val="81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1"/>
    <w:basedOn w:val="816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2"/>
    <w:basedOn w:val="816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3"/>
    <w:basedOn w:val="816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4"/>
    <w:basedOn w:val="816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5"/>
    <w:basedOn w:val="816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3 - Accent 6"/>
    <w:basedOn w:val="816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"/>
    <w:basedOn w:val="81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1"/>
    <w:basedOn w:val="816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2"/>
    <w:basedOn w:val="816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3"/>
    <w:basedOn w:val="816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4"/>
    <w:basedOn w:val="816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5"/>
    <w:basedOn w:val="816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 - Accent 6"/>
    <w:basedOn w:val="816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5 Dark"/>
    <w:basedOn w:val="81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1"/>
    <w:basedOn w:val="816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2"/>
    <w:basedOn w:val="816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3"/>
    <w:basedOn w:val="816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4"/>
    <w:basedOn w:val="816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 w:customStyle="1">
    <w:name w:val="List Table 5 Dark - Accent 5"/>
    <w:basedOn w:val="816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 w:customStyle="1">
    <w:name w:val="List Table 5 Dark - Accent 6"/>
    <w:basedOn w:val="816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>
    <w:name w:val="List Table 6 Colorful"/>
    <w:basedOn w:val="81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8" w:customStyle="1">
    <w:name w:val="List Table 6 Colorful - Accent 1"/>
    <w:basedOn w:val="816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29" w:customStyle="1">
    <w:name w:val="List Table 6 Colorful - Accent 2"/>
    <w:basedOn w:val="816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30" w:customStyle="1">
    <w:name w:val="List Table 6 Colorful - Accent 3"/>
    <w:basedOn w:val="816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31" w:customStyle="1">
    <w:name w:val="List Table 6 Colorful - Accent 4"/>
    <w:basedOn w:val="816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32" w:customStyle="1">
    <w:name w:val="List Table 6 Colorful - Accent 5"/>
    <w:basedOn w:val="816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33" w:customStyle="1">
    <w:name w:val="List Table 6 Colorful - Accent 6"/>
    <w:basedOn w:val="816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4">
    <w:name w:val="List Table 7 Colorful"/>
    <w:basedOn w:val="81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7 Colorful - Accent 1"/>
    <w:basedOn w:val="816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7 Colorful - Accent 2"/>
    <w:basedOn w:val="816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7 Colorful - Accent 3"/>
    <w:basedOn w:val="816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7 Colorful - Accent 4"/>
    <w:basedOn w:val="816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7 Colorful - Accent 5"/>
    <w:basedOn w:val="816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st Table 7 Colorful - Accent 6"/>
    <w:basedOn w:val="816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ned - Accent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2" w:customStyle="1">
    <w:name w:val="Lined - Accent 1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43" w:customStyle="1">
    <w:name w:val="Lined - Accent 2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4" w:customStyle="1">
    <w:name w:val="Lined - Accent 3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45" w:customStyle="1">
    <w:name w:val="Lined - Accent 4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46" w:customStyle="1">
    <w:name w:val="Lined - Accent 5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47" w:customStyle="1">
    <w:name w:val="Lined - Accent 6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48" w:customStyle="1">
    <w:name w:val="Bordered &amp; Lined - Accent"/>
    <w:basedOn w:val="816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9" w:customStyle="1">
    <w:name w:val="Bordered &amp; Lined - Accent 1"/>
    <w:basedOn w:val="816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50" w:customStyle="1">
    <w:name w:val="Bordered &amp; Lined - Accent 2"/>
    <w:basedOn w:val="816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1" w:customStyle="1">
    <w:name w:val="Bordered &amp; Lined - Accent 3"/>
    <w:basedOn w:val="816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2" w:customStyle="1">
    <w:name w:val="Bordered &amp; Lined - Accent 4"/>
    <w:basedOn w:val="816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3" w:customStyle="1">
    <w:name w:val="Bordered &amp; Lined - Accent 5"/>
    <w:basedOn w:val="816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54" w:customStyle="1">
    <w:name w:val="Bordered &amp; Lined - Accent 6"/>
    <w:basedOn w:val="816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5" w:customStyle="1">
    <w:name w:val="Bordered"/>
    <w:basedOn w:val="81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6" w:customStyle="1">
    <w:name w:val="Bordered - Accent 1"/>
    <w:basedOn w:val="816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57" w:customStyle="1">
    <w:name w:val="Bordered - Accent 2"/>
    <w:basedOn w:val="816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58" w:customStyle="1">
    <w:name w:val="Bordered - Accent 3"/>
    <w:basedOn w:val="816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59" w:customStyle="1">
    <w:name w:val="Bordered - Accent 4"/>
    <w:basedOn w:val="816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60" w:customStyle="1">
    <w:name w:val="Bordered - Accent 5"/>
    <w:basedOn w:val="816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61" w:customStyle="1">
    <w:name w:val="Bordered - Accent 6"/>
    <w:basedOn w:val="816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62" w:customStyle="1">
    <w:name w:val="Footnote Text Char"/>
    <w:uiPriority w:val="99"/>
    <w:rPr>
      <w:sz w:val="18"/>
    </w:rPr>
  </w:style>
  <w:style w:type="character" w:styleId="963" w:customStyle="1">
    <w:name w:val="Endnote Text Char"/>
    <w:uiPriority w:val="99"/>
    <w:rPr>
      <w:sz w:val="20"/>
    </w:rPr>
  </w:style>
  <w:style w:type="paragraph" w:styleId="964">
    <w:name w:val="table of figures"/>
    <w:basedOn w:val="805"/>
    <w:next w:val="805"/>
    <w:uiPriority w:val="99"/>
    <w:unhideWhenUsed/>
  </w:style>
  <w:style w:type="paragraph" w:styleId="965" w:customStyle="1">
    <w:name w:val="Название раздела инструкции"/>
    <w:basedOn w:val="805"/>
    <w:pPr>
      <w:jc w:val="center"/>
    </w:pPr>
    <w:rPr>
      <w:b/>
    </w:rPr>
  </w:style>
  <w:style w:type="paragraph" w:styleId="966" w:customStyle="1">
    <w:name w:val="Раздел положения"/>
    <w:basedOn w:val="805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67" w:customStyle="1">
    <w:name w:val="Подраздел раздела положения"/>
    <w:basedOn w:val="805"/>
    <w:pPr>
      <w:numPr>
        <w:ilvl w:val="1"/>
        <w:numId w:val="1"/>
      </w:numPr>
      <w:jc w:val="both"/>
      <w:spacing w:before="80" w:after="80"/>
    </w:pPr>
  </w:style>
  <w:style w:type="paragraph" w:styleId="968">
    <w:name w:val="footnote text"/>
    <w:basedOn w:val="805"/>
    <w:link w:val="1042"/>
    <w:uiPriority w:val="99"/>
    <w:rPr>
      <w:sz w:val="20"/>
      <w:szCs w:val="20"/>
    </w:rPr>
  </w:style>
  <w:style w:type="character" w:styleId="969">
    <w:name w:val="footnote reference"/>
    <w:rPr>
      <w:vertAlign w:val="superscript"/>
    </w:rPr>
  </w:style>
  <w:style w:type="paragraph" w:styleId="970" w:customStyle="1">
    <w:name w:val="Шапка 1"/>
    <w:basedOn w:val="805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71" w:customStyle="1">
    <w:name w:val="Шапка 2"/>
    <w:basedOn w:val="805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72" w:customStyle="1">
    <w:name w:val="Шапка 3"/>
    <w:basedOn w:val="805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73" w:customStyle="1">
    <w:name w:val="Название1"/>
    <w:basedOn w:val="805"/>
    <w:link w:val="1015"/>
    <w:uiPriority w:val="10"/>
    <w:qFormat/>
    <w:pPr>
      <w:jc w:val="center"/>
    </w:pPr>
    <w:rPr>
      <w:szCs w:val="20"/>
    </w:rPr>
  </w:style>
  <w:style w:type="paragraph" w:styleId="974">
    <w:name w:val="Header"/>
    <w:basedOn w:val="805"/>
    <w:link w:val="105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75">
    <w:name w:val="Body Text Indent"/>
    <w:basedOn w:val="805"/>
    <w:pPr>
      <w:ind w:left="360"/>
    </w:pPr>
    <w:rPr>
      <w:sz w:val="24"/>
      <w:szCs w:val="24"/>
    </w:rPr>
  </w:style>
  <w:style w:type="table" w:styleId="976">
    <w:name w:val="Table Grid"/>
    <w:basedOn w:val="816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7">
    <w:name w:val="Footer"/>
    <w:basedOn w:val="805"/>
    <w:link w:val="836"/>
    <w:pPr>
      <w:tabs>
        <w:tab w:val="center" w:pos="4677" w:leader="none"/>
        <w:tab w:val="right" w:pos="9355" w:leader="none"/>
      </w:tabs>
    </w:pPr>
  </w:style>
  <w:style w:type="paragraph" w:styleId="978">
    <w:name w:val="Body Text"/>
    <w:basedOn w:val="805"/>
    <w:link w:val="1045"/>
    <w:pPr>
      <w:spacing w:after="120"/>
    </w:pPr>
  </w:style>
  <w:style w:type="paragraph" w:styleId="979">
    <w:name w:val="Body Text Indent 2"/>
    <w:basedOn w:val="805"/>
    <w:pPr>
      <w:ind w:left="283"/>
      <w:spacing w:after="120" w:line="480" w:lineRule="auto"/>
    </w:pPr>
  </w:style>
  <w:style w:type="paragraph" w:styleId="980">
    <w:name w:val="Body Text 3"/>
    <w:basedOn w:val="805"/>
    <w:pPr>
      <w:spacing w:after="120"/>
    </w:pPr>
    <w:rPr>
      <w:sz w:val="16"/>
      <w:szCs w:val="16"/>
    </w:rPr>
  </w:style>
  <w:style w:type="paragraph" w:styleId="981">
    <w:name w:val="Body Text Indent 3"/>
    <w:basedOn w:val="805"/>
    <w:link w:val="1076"/>
    <w:pPr>
      <w:ind w:left="283"/>
      <w:spacing w:after="120"/>
    </w:pPr>
    <w:rPr>
      <w:sz w:val="16"/>
      <w:szCs w:val="16"/>
    </w:rPr>
  </w:style>
  <w:style w:type="paragraph" w:styleId="982">
    <w:name w:val="Body Text 2"/>
    <w:basedOn w:val="805"/>
    <w:pPr>
      <w:spacing w:after="120" w:line="480" w:lineRule="auto"/>
    </w:pPr>
  </w:style>
  <w:style w:type="paragraph" w:styleId="983">
    <w:name w:val="Block Text"/>
    <w:basedOn w:val="805"/>
    <w:pPr>
      <w:ind w:left="-567" w:right="-766"/>
      <w:jc w:val="center"/>
    </w:pPr>
    <w:rPr>
      <w:b/>
      <w:bCs/>
      <w:sz w:val="24"/>
      <w:szCs w:val="20"/>
    </w:rPr>
  </w:style>
  <w:style w:type="paragraph" w:styleId="984" w:customStyle="1">
    <w:name w:val="Подпункт"/>
    <w:basedOn w:val="805"/>
    <w:link w:val="1040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85" w:customStyle="1">
    <w:name w:val="Пункт2"/>
    <w:basedOn w:val="805"/>
    <w:link w:val="1066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86">
    <w:name w:val="page number"/>
    <w:basedOn w:val="815"/>
  </w:style>
  <w:style w:type="paragraph" w:styleId="987">
    <w:name w:val="toc 1"/>
    <w:basedOn w:val="805"/>
    <w:next w:val="805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88">
    <w:name w:val="toc 3"/>
    <w:basedOn w:val="805"/>
    <w:next w:val="805"/>
    <w:uiPriority w:val="39"/>
    <w:pPr>
      <w:ind w:left="280"/>
    </w:pPr>
    <w:rPr>
      <w:rFonts w:cstheme="minorHAnsi"/>
      <w:sz w:val="20"/>
      <w:szCs w:val="20"/>
    </w:rPr>
  </w:style>
  <w:style w:type="character" w:styleId="989">
    <w:name w:val="Hyperlink"/>
    <w:uiPriority w:val="99"/>
    <w:rPr>
      <w:color w:val="0000ff"/>
      <w:u w:val="single"/>
    </w:rPr>
  </w:style>
  <w:style w:type="paragraph" w:styleId="990" w:customStyle="1">
    <w:name w:val="Раздел регламента"/>
    <w:basedOn w:val="805"/>
  </w:style>
  <w:style w:type="paragraph" w:styleId="991" w:customStyle="1">
    <w:name w:val="Приложение к регламенту"/>
    <w:basedOn w:val="805"/>
    <w:pPr>
      <w:jc w:val="right"/>
    </w:pPr>
  </w:style>
  <w:style w:type="paragraph" w:styleId="992">
    <w:name w:val="toc 2"/>
    <w:basedOn w:val="805"/>
    <w:next w:val="805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93">
    <w:name w:val="Balloon Text"/>
    <w:basedOn w:val="805"/>
    <w:semiHidden/>
    <w:rPr>
      <w:rFonts w:ascii="Tahoma" w:hAnsi="Tahoma" w:cs="Tahoma"/>
      <w:sz w:val="16"/>
      <w:szCs w:val="16"/>
    </w:rPr>
  </w:style>
  <w:style w:type="character" w:styleId="994">
    <w:name w:val="annotation reference"/>
    <w:uiPriority w:val="99"/>
    <w:semiHidden/>
    <w:rPr>
      <w:sz w:val="16"/>
      <w:szCs w:val="16"/>
    </w:rPr>
  </w:style>
  <w:style w:type="paragraph" w:styleId="995">
    <w:name w:val="annotation text"/>
    <w:basedOn w:val="805"/>
    <w:link w:val="1060"/>
    <w:semiHidden/>
    <w:rPr>
      <w:sz w:val="20"/>
      <w:szCs w:val="20"/>
    </w:rPr>
  </w:style>
  <w:style w:type="paragraph" w:styleId="996">
    <w:name w:val="annotation subject"/>
    <w:basedOn w:val="995"/>
    <w:next w:val="995"/>
    <w:semiHidden/>
    <w:rPr>
      <w:b/>
      <w:bCs/>
    </w:rPr>
  </w:style>
  <w:style w:type="paragraph" w:styleId="997" w:customStyle="1">
    <w:name w:val="Обычный (веб)1"/>
    <w:basedOn w:val="805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98">
    <w:name w:val="toc 9"/>
    <w:basedOn w:val="805"/>
    <w:next w:val="805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99">
    <w:name w:val="toc 5"/>
    <w:basedOn w:val="805"/>
    <w:next w:val="805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00">
    <w:name w:val="toc 4"/>
    <w:basedOn w:val="805"/>
    <w:next w:val="805"/>
    <w:uiPriority w:val="39"/>
    <w:pPr>
      <w:ind w:left="560"/>
    </w:pPr>
    <w:rPr>
      <w:rFonts w:cstheme="minorHAnsi"/>
      <w:sz w:val="20"/>
      <w:szCs w:val="20"/>
    </w:rPr>
  </w:style>
  <w:style w:type="paragraph" w:styleId="1001" w:customStyle="1">
    <w:name w:val="Раздел положения 2"/>
    <w:basedOn w:val="805"/>
    <w:pPr>
      <w:jc w:val="both"/>
      <w:pageBreakBefore/>
      <w:outlineLvl w:val="0"/>
    </w:pPr>
    <w:rPr>
      <w:b/>
    </w:rPr>
  </w:style>
  <w:style w:type="character" w:styleId="1002">
    <w:name w:val="Strong"/>
    <w:qFormat/>
    <w:rPr>
      <w:b/>
      <w:bCs/>
    </w:rPr>
  </w:style>
  <w:style w:type="character" w:styleId="1003" w:customStyle="1">
    <w:name w:val="Заголовок 6 Знак"/>
    <w:link w:val="811"/>
    <w:uiPriority w:val="9"/>
    <w:rPr>
      <w:rFonts w:ascii="Cambria" w:hAnsi="Cambria"/>
      <w:i/>
      <w:iCs/>
      <w:color w:val="243f60"/>
    </w:rPr>
  </w:style>
  <w:style w:type="character" w:styleId="1004" w:customStyle="1">
    <w:name w:val="Заголовок 7 Знак"/>
    <w:link w:val="812"/>
    <w:uiPriority w:val="9"/>
    <w:rPr>
      <w:rFonts w:ascii="Cambria" w:hAnsi="Cambria"/>
      <w:i/>
      <w:iCs/>
      <w:color w:val="404040"/>
    </w:rPr>
  </w:style>
  <w:style w:type="character" w:styleId="1005" w:customStyle="1">
    <w:name w:val="Заголовок 8 Знак"/>
    <w:link w:val="813"/>
    <w:uiPriority w:val="9"/>
    <w:rPr>
      <w:rFonts w:ascii="Cambria" w:hAnsi="Cambria"/>
      <w:color w:val="4f81bd"/>
    </w:rPr>
  </w:style>
  <w:style w:type="character" w:styleId="1006" w:customStyle="1">
    <w:name w:val="Заголовок 1 Знак"/>
    <w:link w:val="806"/>
    <w:rPr>
      <w:rFonts w:eastAsia="Calibri"/>
      <w:b/>
      <w:sz w:val="28"/>
      <w:szCs w:val="28"/>
    </w:rPr>
  </w:style>
  <w:style w:type="paragraph" w:styleId="1007" w:customStyle="1">
    <w:name w:val="Знак Знак Знак Знак Знак Знак Знак Знак Знак"/>
    <w:basedOn w:val="805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08" w:customStyle="1">
    <w:name w:val="Заголовок 2 Знак"/>
    <w:link w:val="807"/>
    <w:rPr>
      <w:rFonts w:eastAsia="Calibri"/>
      <w:b/>
      <w:bCs/>
      <w:sz w:val="24"/>
      <w:szCs w:val="24"/>
    </w:rPr>
  </w:style>
  <w:style w:type="character" w:styleId="1009" w:customStyle="1">
    <w:name w:val="Заголовок 3 Знак"/>
    <w:link w:val="808"/>
    <w:rPr>
      <w:rFonts w:eastAsia="Calibri"/>
      <w:b/>
      <w:sz w:val="24"/>
      <w:szCs w:val="24"/>
    </w:rPr>
  </w:style>
  <w:style w:type="character" w:styleId="1010" w:customStyle="1">
    <w:name w:val="Заголовок 4 Знак"/>
    <w:link w:val="809"/>
    <w:rPr>
      <w:rFonts w:eastAsia="Calibri"/>
      <w:b/>
      <w:bCs/>
      <w:sz w:val="24"/>
      <w:szCs w:val="24"/>
    </w:rPr>
  </w:style>
  <w:style w:type="character" w:styleId="1011" w:customStyle="1">
    <w:name w:val="Заголовок 5 Знак"/>
    <w:link w:val="810"/>
    <w:uiPriority w:val="9"/>
    <w:rPr>
      <w:b/>
      <w:bCs/>
      <w:i/>
      <w:iCs/>
      <w:sz w:val="26"/>
      <w:szCs w:val="26"/>
    </w:rPr>
  </w:style>
  <w:style w:type="character" w:styleId="1012" w:customStyle="1">
    <w:name w:val="Заголовок 9 Знак"/>
    <w:link w:val="814"/>
    <w:uiPriority w:val="9"/>
    <w:rPr>
      <w:rFonts w:ascii="Arial" w:hAnsi="Arial" w:cs="Arial"/>
      <w:sz w:val="22"/>
      <w:szCs w:val="22"/>
    </w:rPr>
  </w:style>
  <w:style w:type="paragraph" w:styleId="1013">
    <w:name w:val="No Spacing"/>
    <w:basedOn w:val="805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14">
    <w:name w:val="Caption"/>
    <w:basedOn w:val="805"/>
    <w:next w:val="805"/>
    <w:link w:val="81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15" w:customStyle="1">
    <w:name w:val="Название Знак"/>
    <w:link w:val="973"/>
    <w:uiPriority w:val="10"/>
    <w:rPr>
      <w:sz w:val="28"/>
    </w:rPr>
  </w:style>
  <w:style w:type="paragraph" w:styleId="1016">
    <w:name w:val="Subtitle"/>
    <w:basedOn w:val="805"/>
    <w:next w:val="805"/>
    <w:link w:val="101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17" w:customStyle="1">
    <w:name w:val="Подзаголовок Знак"/>
    <w:link w:val="1016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18">
    <w:name w:val="Emphasis"/>
    <w:uiPriority w:val="20"/>
    <w:qFormat/>
    <w:rPr>
      <w:i/>
      <w:iCs/>
    </w:rPr>
  </w:style>
  <w:style w:type="paragraph" w:styleId="1019">
    <w:name w:val="List Paragraph"/>
    <w:basedOn w:val="805"/>
    <w:link w:val="1049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20">
    <w:name w:val="Quote"/>
    <w:basedOn w:val="805"/>
    <w:next w:val="805"/>
    <w:link w:val="1021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21" w:customStyle="1">
    <w:name w:val="Цитата 2 Знак"/>
    <w:link w:val="1020"/>
    <w:uiPriority w:val="29"/>
    <w:rPr>
      <w:rFonts w:ascii="Calibri" w:hAnsi="Calibri" w:eastAsia="Calibri"/>
      <w:i/>
      <w:iCs/>
      <w:color w:val="000000"/>
    </w:rPr>
  </w:style>
  <w:style w:type="paragraph" w:styleId="1022">
    <w:name w:val="Intense Quote"/>
    <w:basedOn w:val="805"/>
    <w:next w:val="805"/>
    <w:link w:val="1023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23" w:customStyle="1">
    <w:name w:val="Выделенная цитата Знак"/>
    <w:link w:val="1022"/>
    <w:uiPriority w:val="30"/>
    <w:rPr>
      <w:rFonts w:ascii="Calibri" w:hAnsi="Calibri" w:eastAsia="Calibri"/>
      <w:b/>
      <w:bCs/>
      <w:i/>
      <w:iCs/>
      <w:color w:val="4f81bd"/>
    </w:rPr>
  </w:style>
  <w:style w:type="character" w:styleId="1024">
    <w:name w:val="Subtle Emphasis"/>
    <w:uiPriority w:val="19"/>
    <w:qFormat/>
    <w:rPr>
      <w:i/>
      <w:iCs/>
      <w:color w:val="808080"/>
    </w:rPr>
  </w:style>
  <w:style w:type="character" w:styleId="1025">
    <w:name w:val="Intense Emphasis"/>
    <w:uiPriority w:val="21"/>
    <w:qFormat/>
    <w:rPr>
      <w:b/>
      <w:bCs/>
      <w:i/>
      <w:iCs/>
      <w:color w:val="4f81bd"/>
    </w:rPr>
  </w:style>
  <w:style w:type="character" w:styleId="1026">
    <w:name w:val="Subtle Reference"/>
    <w:uiPriority w:val="31"/>
    <w:qFormat/>
    <w:rPr>
      <w:smallCaps/>
      <w:color w:val="c0504d"/>
      <w:u w:val="single"/>
    </w:rPr>
  </w:style>
  <w:style w:type="character" w:styleId="1027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28">
    <w:name w:val="Book Title"/>
    <w:uiPriority w:val="33"/>
    <w:qFormat/>
    <w:rPr>
      <w:b/>
      <w:bCs/>
      <w:smallCaps/>
      <w:spacing w:val="5"/>
    </w:rPr>
  </w:style>
  <w:style w:type="paragraph" w:styleId="1029">
    <w:name w:val="TOC Heading"/>
    <w:basedOn w:val="806"/>
    <w:next w:val="805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30">
    <w:name w:val="E-mail Signature"/>
    <w:basedOn w:val="805"/>
    <w:link w:val="1031"/>
    <w:uiPriority w:val="99"/>
    <w:unhideWhenUsed/>
    <w:rPr>
      <w:rFonts w:eastAsia="Calibri"/>
      <w:sz w:val="24"/>
      <w:szCs w:val="24"/>
    </w:rPr>
  </w:style>
  <w:style w:type="character" w:styleId="1031" w:customStyle="1">
    <w:name w:val="Электронная подпись Знак"/>
    <w:link w:val="1030"/>
    <w:uiPriority w:val="99"/>
    <w:rPr>
      <w:rFonts w:eastAsia="Calibri"/>
      <w:sz w:val="24"/>
      <w:szCs w:val="24"/>
    </w:rPr>
  </w:style>
  <w:style w:type="paragraph" w:styleId="1032" w:customStyle="1">
    <w:name w:val="Знак"/>
    <w:basedOn w:val="8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3" w:customStyle="1">
    <w:name w:val="Нумерованный список ур3"/>
    <w:basedOn w:val="805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34" w:customStyle="1">
    <w:name w:val="Нумерованный список 1"/>
    <w:basedOn w:val="805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35" w:customStyle="1">
    <w:name w:val="Нумерованный список ур2"/>
    <w:basedOn w:val="805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36">
    <w:name w:val="Revision"/>
    <w:hidden/>
    <w:uiPriority w:val="99"/>
    <w:semiHidden/>
    <w:rPr>
      <w:rFonts w:eastAsia="Calibri"/>
      <w:sz w:val="24"/>
      <w:szCs w:val="24"/>
    </w:rPr>
  </w:style>
  <w:style w:type="paragraph" w:styleId="1037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38" w:customStyle="1">
    <w:name w:val="Знак Знак3 Знак Знак"/>
    <w:basedOn w:val="805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39" w:customStyle="1">
    <w:name w:val="Пункт"/>
    <w:basedOn w:val="805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40" w:customStyle="1">
    <w:name w:val="Подпункт Знак1"/>
    <w:link w:val="984"/>
    <w:rPr>
      <w:sz w:val="28"/>
    </w:rPr>
  </w:style>
  <w:style w:type="paragraph" w:styleId="1041" w:customStyle="1">
    <w:name w:val="Абзац списка1"/>
    <w:basedOn w:val="805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42" w:customStyle="1">
    <w:name w:val="Текст сноски Знак"/>
    <w:link w:val="968"/>
    <w:uiPriority w:val="99"/>
  </w:style>
  <w:style w:type="numbering" w:styleId="1043" w:customStyle="1">
    <w:name w:val="Стиль1"/>
    <w:uiPriority w:val="99"/>
    <w:pPr>
      <w:numPr>
        <w:ilvl w:val="0"/>
        <w:numId w:val="3"/>
      </w:numPr>
    </w:pPr>
  </w:style>
  <w:style w:type="paragraph" w:styleId="1044" w:customStyle="1">
    <w:name w:val="Таблица"/>
    <w:basedOn w:val="805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45" w:customStyle="1">
    <w:name w:val="Основной текст Знак"/>
    <w:link w:val="978"/>
    <w:rPr>
      <w:sz w:val="28"/>
      <w:szCs w:val="28"/>
    </w:rPr>
  </w:style>
  <w:style w:type="character" w:styleId="1046" w:customStyle="1">
    <w:name w:val="blk"/>
  </w:style>
  <w:style w:type="numbering" w:styleId="1047" w:customStyle="1">
    <w:name w:val="Стиль2"/>
    <w:uiPriority w:val="99"/>
    <w:pPr>
      <w:numPr>
        <w:ilvl w:val="0"/>
        <w:numId w:val="5"/>
      </w:numPr>
    </w:pPr>
  </w:style>
  <w:style w:type="paragraph" w:styleId="1048" w:customStyle="1">
    <w:name w:val="Таблица шапка"/>
    <w:basedOn w:val="805"/>
    <w:pPr>
      <w:ind w:left="57" w:right="57"/>
      <w:keepNext/>
      <w:spacing w:before="40" w:after="40"/>
    </w:pPr>
    <w:rPr>
      <w:sz w:val="22"/>
      <w:szCs w:val="26"/>
    </w:rPr>
  </w:style>
  <w:style w:type="character" w:styleId="1049" w:customStyle="1">
    <w:name w:val="Абзац списка Знак"/>
    <w:link w:val="1019"/>
    <w:uiPriority w:val="34"/>
    <w:rPr>
      <w:rFonts w:eastAsia="Calibri"/>
      <w:sz w:val="24"/>
      <w:szCs w:val="24"/>
    </w:rPr>
  </w:style>
  <w:style w:type="character" w:styleId="1050" w:customStyle="1">
    <w:name w:val="комментарий"/>
    <w:rPr>
      <w:b/>
      <w:i/>
      <w:shd w:val="clear" w:color="auto" w:fill="ffff99"/>
    </w:rPr>
  </w:style>
  <w:style w:type="paragraph" w:styleId="1051" w:customStyle="1">
    <w:name w:val="Подподпункт"/>
    <w:basedOn w:val="984"/>
    <w:link w:val="1052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52" w:customStyle="1">
    <w:name w:val="Подподпункт Знак"/>
    <w:link w:val="1051"/>
    <w:rPr>
      <w:sz w:val="26"/>
      <w:szCs w:val="26"/>
    </w:rPr>
  </w:style>
  <w:style w:type="paragraph" w:styleId="1053" w:customStyle="1">
    <w:name w:val="УРОВЕНЬ_(а)"/>
    <w:basedOn w:val="1019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54" w:customStyle="1">
    <w:name w:val="УРОВЕНЬ_-"/>
    <w:basedOn w:val="1019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55" w:customStyle="1">
    <w:name w:val="УРОВЕНЬ_Абзац_тип2"/>
    <w:basedOn w:val="1019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56" w:customStyle="1">
    <w:name w:val="УРОВЕНЬ_Абзац_тип3"/>
    <w:basedOn w:val="1019"/>
    <w:link w:val="1058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57" w:customStyle="1">
    <w:name w:val="УРОВЕНЬ_Подпись"/>
    <w:basedOn w:val="1019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58" w:customStyle="1">
    <w:name w:val="УРОВЕНЬ_Абзац_тип3 Знак"/>
    <w:link w:val="1056"/>
    <w:rPr>
      <w:rFonts w:eastAsia="Calibri"/>
      <w:sz w:val="26"/>
      <w:szCs w:val="28"/>
      <w:lang w:eastAsia="en-US"/>
    </w:rPr>
  </w:style>
  <w:style w:type="character" w:styleId="1059" w:customStyle="1">
    <w:name w:val="Верхний колонтитул Знак"/>
    <w:link w:val="974"/>
    <w:uiPriority w:val="99"/>
    <w:rPr>
      <w:sz w:val="24"/>
      <w:szCs w:val="24"/>
    </w:rPr>
  </w:style>
  <w:style w:type="character" w:styleId="1060" w:customStyle="1">
    <w:name w:val="Текст примечания Знак"/>
    <w:link w:val="995"/>
    <w:semiHidden/>
  </w:style>
  <w:style w:type="paragraph" w:styleId="1061" w:customStyle="1">
    <w:name w:val="Стиль Заголовок 1 + по ширине"/>
    <w:basedOn w:val="806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62">
    <w:name w:val="endnote text"/>
    <w:basedOn w:val="805"/>
    <w:link w:val="1063"/>
    <w:rPr>
      <w:sz w:val="20"/>
      <w:szCs w:val="20"/>
    </w:rPr>
  </w:style>
  <w:style w:type="character" w:styleId="1063" w:customStyle="1">
    <w:name w:val="Текст концевой сноски Знак"/>
    <w:basedOn w:val="815"/>
    <w:link w:val="1062"/>
  </w:style>
  <w:style w:type="character" w:styleId="1064">
    <w:name w:val="endnote reference"/>
    <w:basedOn w:val="815"/>
    <w:rPr>
      <w:vertAlign w:val="superscript"/>
    </w:rPr>
  </w:style>
  <w:style w:type="paragraph" w:styleId="1065" w:customStyle="1">
    <w:name w:val="Заголовок 2 КВВ"/>
    <w:basedOn w:val="805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66" w:customStyle="1">
    <w:name w:val="Пункт2 Знак"/>
    <w:link w:val="985"/>
    <w:rPr>
      <w:b/>
      <w:sz w:val="28"/>
    </w:rPr>
  </w:style>
  <w:style w:type="paragraph" w:styleId="1067" w:customStyle="1">
    <w:name w:val="Таблица текст"/>
    <w:basedOn w:val="805"/>
    <w:pPr>
      <w:ind w:left="57" w:right="57"/>
      <w:spacing w:before="40" w:after="40"/>
    </w:pPr>
    <w:rPr>
      <w:sz w:val="24"/>
      <w:szCs w:val="26"/>
    </w:rPr>
  </w:style>
  <w:style w:type="paragraph" w:styleId="1068">
    <w:name w:val="Normal (Web)"/>
    <w:basedOn w:val="805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69" w:customStyle="1">
    <w:name w:val="УРОВЕНЬ_1."/>
    <w:basedOn w:val="1019"/>
    <w:link w:val="1070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70" w:customStyle="1">
    <w:name w:val="УРОВЕНЬ_1. Знак"/>
    <w:link w:val="1069"/>
    <w:rPr>
      <w:rFonts w:eastAsia="Calibri"/>
      <w:caps/>
      <w:sz w:val="28"/>
      <w:szCs w:val="28"/>
      <w:lang w:eastAsia="en-US"/>
    </w:rPr>
  </w:style>
  <w:style w:type="table" w:styleId="1071" w:customStyle="1">
    <w:name w:val="Сетка таблицы1"/>
    <w:basedOn w:val="816"/>
    <w:next w:val="976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2">
    <w:name w:val="toc 6"/>
    <w:basedOn w:val="805"/>
    <w:next w:val="805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73">
    <w:name w:val="toc 7"/>
    <w:basedOn w:val="805"/>
    <w:next w:val="805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74">
    <w:name w:val="toc 8"/>
    <w:basedOn w:val="805"/>
    <w:next w:val="805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75" w:customStyle="1">
    <w:name w:val="Неразрешенное упоминание1"/>
    <w:basedOn w:val="815"/>
    <w:uiPriority w:val="99"/>
    <w:semiHidden/>
    <w:unhideWhenUsed/>
    <w:rPr>
      <w:color w:val="605e5c"/>
      <w:shd w:val="clear" w:color="auto" w:fill="e1dfdd"/>
    </w:rPr>
  </w:style>
  <w:style w:type="character" w:styleId="1076" w:customStyle="1">
    <w:name w:val="Основной текст с отступом 3 Знак"/>
    <w:link w:val="981"/>
    <w:rPr>
      <w:sz w:val="16"/>
      <w:szCs w:val="16"/>
    </w:rPr>
  </w:style>
  <w:style w:type="paragraph" w:styleId="1077" w:customStyle="1">
    <w:name w:val="docdata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078" w:customStyle="1">
    <w:name w:val="sc-bznhio"/>
  </w:style>
  <w:style w:type="paragraph" w:styleId="1079" w:customStyle="1">
    <w:name w:val="sc-kguayh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nlyoffice.com/commentsDocument" Target="commentsDocument.xml" /><Relationship Id="rId14" Type="http://schemas.onlyoffice.com/commentsExtendedDocument" Target="commentsExtendedDocument.xml" /><Relationship Id="rId15" Type="http://schemas.onlyoffice.com/commentsIdsDocument" Target="commentsIdsDocument.xml" /><Relationship Id="rId16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66215-4473-4C3B-B1C3-54F6D185C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khrapataya-ys</cp:lastModifiedBy>
  <cp:revision>19</cp:revision>
  <dcterms:created xsi:type="dcterms:W3CDTF">2024-09-03T00:28:00Z</dcterms:created>
  <dcterms:modified xsi:type="dcterms:W3CDTF">2026-04-14T03:43:22Z</dcterms:modified>
</cp:coreProperties>
</file>